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17C3F" w14:textId="1DEAFB6D" w:rsidR="008B6C40" w:rsidRDefault="00DA0ED2" w:rsidP="00CA20EC">
      <w:pPr>
        <w:widowControl/>
        <w:jc w:val="center"/>
        <w:rPr>
          <w:bCs/>
          <w:sz w:val="32"/>
          <w:szCs w:val="32"/>
          <w:u w:val="single"/>
        </w:rPr>
      </w:pPr>
      <w:r w:rsidRPr="00A65014">
        <w:rPr>
          <w:bCs/>
          <w:sz w:val="32"/>
          <w:szCs w:val="32"/>
          <w:u w:val="single"/>
        </w:rPr>
        <w:t>INSTRUCTIONS</w:t>
      </w:r>
      <w:r w:rsidR="00A65014" w:rsidRPr="00A65014">
        <w:rPr>
          <w:bCs/>
          <w:sz w:val="32"/>
          <w:szCs w:val="32"/>
          <w:u w:val="single"/>
        </w:rPr>
        <w:t xml:space="preserve"> </w:t>
      </w:r>
      <w:r w:rsidR="008B6C40">
        <w:rPr>
          <w:bCs/>
          <w:sz w:val="32"/>
          <w:szCs w:val="32"/>
          <w:u w:val="single"/>
        </w:rPr>
        <w:t>&amp; PROCEDURES</w:t>
      </w:r>
      <w:r w:rsidR="00AB6187">
        <w:rPr>
          <w:bCs/>
          <w:sz w:val="32"/>
          <w:szCs w:val="32"/>
          <w:u w:val="single"/>
        </w:rPr>
        <w:t xml:space="preserve"> </w:t>
      </w:r>
      <w:r w:rsidR="00874B0F" w:rsidRPr="00A65014">
        <w:rPr>
          <w:bCs/>
          <w:sz w:val="32"/>
          <w:szCs w:val="32"/>
          <w:u w:val="single"/>
        </w:rPr>
        <w:t>FOR</w:t>
      </w:r>
      <w:r w:rsidR="00874B0F">
        <w:rPr>
          <w:bCs/>
          <w:sz w:val="32"/>
          <w:szCs w:val="32"/>
          <w:u w:val="single"/>
        </w:rPr>
        <w:t xml:space="preserve"> </w:t>
      </w:r>
      <w:r w:rsidR="008B6C40">
        <w:rPr>
          <w:bCs/>
          <w:sz w:val="32"/>
          <w:szCs w:val="32"/>
          <w:u w:val="single"/>
        </w:rPr>
        <w:t xml:space="preserve">HEARINGS </w:t>
      </w:r>
      <w:r w:rsidR="00A823BC">
        <w:rPr>
          <w:bCs/>
          <w:sz w:val="32"/>
          <w:szCs w:val="32"/>
          <w:u w:val="single"/>
        </w:rPr>
        <w:t xml:space="preserve">CONDUCTED </w:t>
      </w:r>
      <w:r w:rsidR="008B6C40">
        <w:rPr>
          <w:bCs/>
          <w:sz w:val="32"/>
          <w:szCs w:val="32"/>
          <w:u w:val="single"/>
        </w:rPr>
        <w:t>BY</w:t>
      </w:r>
      <w:r w:rsidR="00AB6187">
        <w:rPr>
          <w:bCs/>
          <w:sz w:val="32"/>
          <w:szCs w:val="32"/>
          <w:u w:val="single"/>
        </w:rPr>
        <w:t xml:space="preserve"> </w:t>
      </w:r>
      <w:r w:rsidR="008B6C40">
        <w:rPr>
          <w:bCs/>
          <w:sz w:val="32"/>
          <w:szCs w:val="32"/>
          <w:u w:val="single"/>
        </w:rPr>
        <w:t>ELECTRONIC MEANS</w:t>
      </w:r>
      <w:r w:rsidR="00874B0F">
        <w:rPr>
          <w:bCs/>
          <w:sz w:val="32"/>
          <w:szCs w:val="32"/>
          <w:u w:val="single"/>
        </w:rPr>
        <w:t xml:space="preserve"> (V</w:t>
      </w:r>
      <w:r w:rsidR="00AB6187">
        <w:rPr>
          <w:bCs/>
          <w:sz w:val="32"/>
          <w:szCs w:val="32"/>
          <w:u w:val="single"/>
        </w:rPr>
        <w:t>IDEO</w:t>
      </w:r>
      <w:r w:rsidR="00874B0F">
        <w:rPr>
          <w:bCs/>
          <w:sz w:val="32"/>
          <w:szCs w:val="32"/>
          <w:u w:val="single"/>
        </w:rPr>
        <w:t xml:space="preserve"> OR PHONE</w:t>
      </w:r>
      <w:r w:rsidR="00AB6187">
        <w:rPr>
          <w:bCs/>
          <w:sz w:val="32"/>
          <w:szCs w:val="32"/>
          <w:u w:val="single"/>
        </w:rPr>
        <w:t xml:space="preserve"> CONFERENCE</w:t>
      </w:r>
      <w:r w:rsidR="00874B0F">
        <w:rPr>
          <w:bCs/>
          <w:sz w:val="32"/>
          <w:szCs w:val="32"/>
          <w:u w:val="single"/>
        </w:rPr>
        <w:t>)</w:t>
      </w:r>
    </w:p>
    <w:p w14:paraId="273B30C0" w14:textId="304D9CF2" w:rsidR="00AA55D9" w:rsidRPr="00A65014" w:rsidRDefault="008B6C40" w:rsidP="00536C07">
      <w:pPr>
        <w:widowControl/>
        <w:jc w:val="center"/>
        <w:rPr>
          <w:sz w:val="32"/>
          <w:szCs w:val="32"/>
        </w:rPr>
      </w:pPr>
      <w:r>
        <w:rPr>
          <w:bCs/>
          <w:sz w:val="32"/>
          <w:szCs w:val="32"/>
          <w:u w:val="single"/>
        </w:rPr>
        <w:t xml:space="preserve">BEFORE </w:t>
      </w:r>
      <w:r w:rsidR="00410E10">
        <w:rPr>
          <w:bCs/>
          <w:sz w:val="32"/>
          <w:szCs w:val="32"/>
          <w:u w:val="single"/>
        </w:rPr>
        <w:t xml:space="preserve">CHIEF </w:t>
      </w:r>
      <w:r w:rsidRPr="00A65014">
        <w:rPr>
          <w:bCs/>
          <w:sz w:val="32"/>
          <w:szCs w:val="32"/>
          <w:u w:val="single"/>
        </w:rPr>
        <w:t xml:space="preserve">JUDGE </w:t>
      </w:r>
      <w:r w:rsidR="00410E10">
        <w:rPr>
          <w:bCs/>
          <w:sz w:val="32"/>
          <w:szCs w:val="32"/>
          <w:u w:val="single"/>
        </w:rPr>
        <w:t>J. RANDAL HALL</w:t>
      </w:r>
    </w:p>
    <w:p w14:paraId="24CA0015" w14:textId="77777777" w:rsidR="00D971BF" w:rsidRDefault="00D971BF">
      <w:pPr>
        <w:widowControl/>
        <w:autoSpaceDE/>
        <w:autoSpaceDN/>
        <w:adjustRightInd/>
        <w:spacing w:after="160" w:line="259" w:lineRule="auto"/>
        <w:rPr>
          <w:b/>
          <w:bCs/>
          <w:u w:val="single"/>
        </w:rPr>
      </w:pPr>
    </w:p>
    <w:p w14:paraId="7471E04B" w14:textId="77777777" w:rsidR="00D971BF" w:rsidRDefault="00D971BF">
      <w:pPr>
        <w:widowControl/>
        <w:autoSpaceDE/>
        <w:autoSpaceDN/>
        <w:adjustRightInd/>
        <w:spacing w:after="160" w:line="259" w:lineRule="auto"/>
        <w:rPr>
          <w:b/>
          <w:bCs/>
          <w:u w:val="single"/>
        </w:rPr>
        <w:sectPr w:rsidR="00D971BF" w:rsidSect="00A65014">
          <w:headerReference w:type="default" r:id="rId8"/>
          <w:footerReference w:type="default" r:id="rId9"/>
          <w:pgSz w:w="12240" w:h="15840" w:code="1"/>
          <w:pgMar w:top="1440" w:right="1440" w:bottom="1440" w:left="1440" w:header="720" w:footer="720" w:gutter="0"/>
          <w:cols w:space="720"/>
          <w:vAlign w:val="center"/>
          <w:noEndnote/>
        </w:sectPr>
      </w:pPr>
    </w:p>
    <w:p w14:paraId="643CED64" w14:textId="5A104D3C" w:rsidR="00874B0F" w:rsidRPr="006D228A" w:rsidRDefault="00C6295D" w:rsidP="00874B0F">
      <w:pPr>
        <w:ind w:firstLine="720"/>
        <w:jc w:val="both"/>
        <w:rPr>
          <w:color w:val="000000" w:themeColor="text1"/>
        </w:rPr>
      </w:pPr>
      <w:r>
        <w:lastRenderedPageBreak/>
        <w:t>The</w:t>
      </w:r>
      <w:r w:rsidR="006A7CFD">
        <w:t xml:space="preserve">se </w:t>
      </w:r>
      <w:r>
        <w:t xml:space="preserve">Instructions and Procedures apply in those cases that </w:t>
      </w:r>
      <w:r w:rsidR="00AB1F94">
        <w:t xml:space="preserve">Chief </w:t>
      </w:r>
      <w:r>
        <w:t xml:space="preserve">Judge </w:t>
      </w:r>
      <w:r w:rsidR="00AB1F94">
        <w:t>Hall</w:t>
      </w:r>
      <w:r>
        <w:t xml:space="preserve"> has entered an </w:t>
      </w:r>
      <w:r w:rsidR="008B6C40">
        <w:t>Order for Hearing by Electronic Means</w:t>
      </w:r>
      <w:r>
        <w:t xml:space="preserve"> (video conference (“VTC”) or telephone conference).  In accordance with that Order,</w:t>
      </w:r>
      <w:r w:rsidR="008B6C40">
        <w:t xml:space="preserve"> the parties are directed to read and follow the </w:t>
      </w:r>
      <w:r w:rsidR="00874B0F">
        <w:t xml:space="preserve">instructions and </w:t>
      </w:r>
      <w:r w:rsidR="008B6C40">
        <w:t>procedures contained herein</w:t>
      </w:r>
      <w:r w:rsidR="00874B0F">
        <w:t xml:space="preserve"> well</w:t>
      </w:r>
      <w:r w:rsidR="008B6C40">
        <w:t xml:space="preserve"> in advance of any hearing scheduled before </w:t>
      </w:r>
      <w:r w:rsidR="00AB1F94">
        <w:t xml:space="preserve">Chief </w:t>
      </w:r>
      <w:r w:rsidR="008B6C40">
        <w:t xml:space="preserve">Judge </w:t>
      </w:r>
      <w:r w:rsidR="00AB1F94">
        <w:t>J. Randal Hall</w:t>
      </w:r>
      <w:r w:rsidR="00874B0F">
        <w:t xml:space="preserve">.  </w:t>
      </w:r>
      <w:r w:rsidR="00874B0F" w:rsidRPr="006D228A">
        <w:rPr>
          <w:color w:val="000000" w:themeColor="text1"/>
        </w:rPr>
        <w:t>For questions</w:t>
      </w:r>
      <w:r w:rsidR="00874B0F">
        <w:rPr>
          <w:color w:val="000000" w:themeColor="text1"/>
        </w:rPr>
        <w:t xml:space="preserve"> or concerns</w:t>
      </w:r>
      <w:r w:rsidR="00874B0F" w:rsidRPr="006D228A">
        <w:rPr>
          <w:color w:val="000000" w:themeColor="text1"/>
        </w:rPr>
        <w:t xml:space="preserve"> regarding any information contained herei</w:t>
      </w:r>
      <w:r w:rsidR="00874B0F">
        <w:rPr>
          <w:color w:val="000000" w:themeColor="text1"/>
        </w:rPr>
        <w:t>n</w:t>
      </w:r>
      <w:r w:rsidR="00874B0F" w:rsidRPr="006D228A">
        <w:rPr>
          <w:color w:val="000000" w:themeColor="text1"/>
        </w:rPr>
        <w:t>, please contact Judge</w:t>
      </w:r>
      <w:r w:rsidR="00AB1F94">
        <w:rPr>
          <w:color w:val="000000" w:themeColor="text1"/>
        </w:rPr>
        <w:t xml:space="preserve"> Hall</w:t>
      </w:r>
      <w:r w:rsidR="00874B0F" w:rsidRPr="006D228A">
        <w:rPr>
          <w:color w:val="000000" w:themeColor="text1"/>
        </w:rPr>
        <w:t xml:space="preserve">’s </w:t>
      </w:r>
      <w:r w:rsidR="0078111D" w:rsidRPr="0078111D">
        <w:rPr>
          <w:color w:val="000000" w:themeColor="text1"/>
        </w:rPr>
        <w:t>Courtroom Deputy Clerk</w:t>
      </w:r>
      <w:r w:rsidR="0078111D">
        <w:rPr>
          <w:color w:val="000000" w:themeColor="text1"/>
        </w:rPr>
        <w:t xml:space="preserve"> (“CRDC”)</w:t>
      </w:r>
      <w:r w:rsidR="00874B0F" w:rsidRPr="006D228A">
        <w:rPr>
          <w:color w:val="000000" w:themeColor="text1"/>
        </w:rPr>
        <w:t xml:space="preserve">, </w:t>
      </w:r>
      <w:r w:rsidR="0031415C">
        <w:rPr>
          <w:color w:val="000000" w:themeColor="text1"/>
        </w:rPr>
        <w:t>Lisa Widener</w:t>
      </w:r>
      <w:r w:rsidR="00874B0F" w:rsidRPr="006D228A">
        <w:rPr>
          <w:color w:val="000000" w:themeColor="text1"/>
        </w:rPr>
        <w:t xml:space="preserve">, at </w:t>
      </w:r>
      <w:r w:rsidR="0031415C">
        <w:rPr>
          <w:color w:val="000000" w:themeColor="text1"/>
        </w:rPr>
        <w:t>706-8</w:t>
      </w:r>
      <w:r w:rsidR="00EB4212">
        <w:rPr>
          <w:color w:val="000000" w:themeColor="text1"/>
        </w:rPr>
        <w:t>23</w:t>
      </w:r>
      <w:r w:rsidR="0031415C">
        <w:rPr>
          <w:color w:val="000000" w:themeColor="text1"/>
        </w:rPr>
        <w:t>-6467</w:t>
      </w:r>
      <w:r w:rsidR="00874B0F" w:rsidRPr="006D228A">
        <w:rPr>
          <w:color w:val="000000" w:themeColor="text1"/>
        </w:rPr>
        <w:t xml:space="preserve"> or </w:t>
      </w:r>
      <w:hyperlink r:id="rId10" w:history="1">
        <w:r w:rsidR="0031415C" w:rsidRPr="000B4FA0">
          <w:rPr>
            <w:rStyle w:val="Hyperlink"/>
          </w:rPr>
          <w:t>lisa_widener@gas.uscourts.gov</w:t>
        </w:r>
      </w:hyperlink>
      <w:r w:rsidR="00874B0F" w:rsidRPr="006D228A">
        <w:rPr>
          <w:color w:val="000000" w:themeColor="text1"/>
        </w:rPr>
        <w:t>.</w:t>
      </w:r>
    </w:p>
    <w:p w14:paraId="19795405" w14:textId="4C65C91B" w:rsidR="008B6C40" w:rsidRDefault="008B6C40" w:rsidP="00874B0F">
      <w:pPr>
        <w:pStyle w:val="ListParagraph"/>
        <w:widowControl/>
        <w:ind w:left="0" w:firstLine="720"/>
      </w:pPr>
    </w:p>
    <w:p w14:paraId="361749F3" w14:textId="77777777" w:rsidR="004508CD" w:rsidRPr="00536C07" w:rsidRDefault="004508CD" w:rsidP="00FA344F">
      <w:pPr>
        <w:pStyle w:val="ListParagraph"/>
        <w:widowControl/>
      </w:pPr>
    </w:p>
    <w:p w14:paraId="371E5EC1" w14:textId="5E041301" w:rsidR="00874B0F" w:rsidRPr="00874B0F" w:rsidRDefault="00874B0F" w:rsidP="00A65014">
      <w:pPr>
        <w:pStyle w:val="ListParagraph"/>
        <w:widowControl/>
        <w:numPr>
          <w:ilvl w:val="0"/>
          <w:numId w:val="8"/>
        </w:numPr>
        <w:ind w:hanging="720"/>
      </w:pPr>
      <w:r>
        <w:rPr>
          <w:b/>
          <w:bCs/>
          <w:u w:val="single"/>
        </w:rPr>
        <w:t>Defendant’s Statement Regarding Appearance Via Electronic Means</w:t>
      </w:r>
    </w:p>
    <w:p w14:paraId="5D59F48A" w14:textId="2E9A4824" w:rsidR="00874B0F" w:rsidRDefault="00874B0F" w:rsidP="00874B0F">
      <w:pPr>
        <w:pStyle w:val="ListParagraph"/>
        <w:widowControl/>
        <w:rPr>
          <w:b/>
          <w:bCs/>
          <w:u w:val="single"/>
        </w:rPr>
      </w:pPr>
    </w:p>
    <w:p w14:paraId="21CF75E7" w14:textId="248782B0" w:rsidR="00170AAB" w:rsidRDefault="00170AAB" w:rsidP="009629CF">
      <w:pPr>
        <w:pStyle w:val="ListParagraph"/>
        <w:widowControl/>
        <w:numPr>
          <w:ilvl w:val="0"/>
          <w:numId w:val="25"/>
        </w:numPr>
        <w:ind w:left="720" w:firstLine="360"/>
        <w:jc w:val="both"/>
        <w:rPr>
          <w:color w:val="000000" w:themeColor="text1"/>
        </w:rPr>
      </w:pPr>
      <w:r>
        <w:rPr>
          <w:color w:val="000000" w:themeColor="text1"/>
        </w:rPr>
        <w:t>By the deadline set forth in the Order for Hearing by Electronic Means,</w:t>
      </w:r>
      <w:r w:rsidR="006A7CFD">
        <w:rPr>
          <w:color w:val="000000" w:themeColor="text1"/>
        </w:rPr>
        <w:t xml:space="preserve"> Defendant’s</w:t>
      </w:r>
      <w:r>
        <w:rPr>
          <w:color w:val="000000" w:themeColor="text1"/>
        </w:rPr>
        <w:t xml:space="preserve"> counsel must e-file the executed form provided by the Court titled “Defendant’s Statement Regarding Appearance Via Electronic Means.”</w:t>
      </w:r>
      <w:r w:rsidR="006A7CFD">
        <w:rPr>
          <w:color w:val="000000" w:themeColor="text1"/>
        </w:rPr>
        <w:t xml:space="preserve">  </w:t>
      </w:r>
      <w:r w:rsidR="00C6295D">
        <w:rPr>
          <w:color w:val="000000" w:themeColor="text1"/>
        </w:rPr>
        <w:t xml:space="preserve">This form will be attached to </w:t>
      </w:r>
      <w:r w:rsidR="006A7CFD">
        <w:rPr>
          <w:color w:val="000000" w:themeColor="text1"/>
        </w:rPr>
        <w:t>t</w:t>
      </w:r>
      <w:r w:rsidR="00C6295D">
        <w:rPr>
          <w:color w:val="000000" w:themeColor="text1"/>
        </w:rPr>
        <w:t>he O</w:t>
      </w:r>
      <w:r w:rsidR="00170EC1">
        <w:rPr>
          <w:color w:val="000000" w:themeColor="text1"/>
        </w:rPr>
        <w:t>r</w:t>
      </w:r>
      <w:r w:rsidR="00C6295D">
        <w:rPr>
          <w:color w:val="000000" w:themeColor="text1"/>
        </w:rPr>
        <w:t>der for Hearing by Electronic Means and is also available on the Court’s website.</w:t>
      </w:r>
      <w:r w:rsidR="006A7CFD">
        <w:rPr>
          <w:color w:val="000000" w:themeColor="text1"/>
        </w:rPr>
        <w:t xml:space="preserve">  Defendant and counsel shall use this form to indicate whether Defendant consents or declines to consent to a hearing by electronic means.</w:t>
      </w:r>
      <w:r w:rsidR="00C6295D">
        <w:rPr>
          <w:color w:val="000000" w:themeColor="text1"/>
        </w:rPr>
        <w:t xml:space="preserve">  </w:t>
      </w:r>
      <w:r w:rsidR="006A7CFD">
        <w:rPr>
          <w:b/>
          <w:bCs/>
          <w:color w:val="000000" w:themeColor="text1"/>
        </w:rPr>
        <w:t>Even if Defendant declines to consent to a hearing by electronic means, Defendant’s counsel must have this form executed and filed indicating that Defendant does not consent to proceed by electronic means.</w:t>
      </w:r>
      <w:r w:rsidR="0077532E">
        <w:rPr>
          <w:b/>
          <w:bCs/>
          <w:color w:val="000000" w:themeColor="text1"/>
        </w:rPr>
        <w:t xml:space="preserve"> </w:t>
      </w:r>
      <w:r w:rsidR="006A7CFD">
        <w:rPr>
          <w:b/>
          <w:bCs/>
          <w:color w:val="000000" w:themeColor="text1"/>
        </w:rPr>
        <w:t xml:space="preserve">  </w:t>
      </w:r>
      <w:r w:rsidR="0077532E">
        <w:rPr>
          <w:color w:val="000000" w:themeColor="text1"/>
        </w:rPr>
        <w:t xml:space="preserve">The defendant’s signature may be affixed to the form in accordance with </w:t>
      </w:r>
      <w:r w:rsidR="00AC2EF7" w:rsidRPr="00245B59">
        <w:rPr>
          <w:u w:val="single"/>
        </w:rPr>
        <w:t xml:space="preserve">IN RE: </w:t>
      </w:r>
      <w:r w:rsidR="00AC2EF7">
        <w:rPr>
          <w:u w:val="single"/>
        </w:rPr>
        <w:t>Expanded Use of Electronic and Other Signatures Due to Exigent Circumstances Created by COVID-19</w:t>
      </w:r>
      <w:r w:rsidR="00AC2EF7" w:rsidRPr="00245B59">
        <w:t>, 1:20-MC-00</w:t>
      </w:r>
      <w:r w:rsidR="00AC2EF7">
        <w:t>7</w:t>
      </w:r>
      <w:r w:rsidR="00AC2EF7" w:rsidRPr="00245B59">
        <w:t>, ECF No. 1 (</w:t>
      </w:r>
      <w:r w:rsidR="00AC2EF7">
        <w:t>April 9</w:t>
      </w:r>
      <w:r w:rsidR="00AC2EF7" w:rsidRPr="00245B59">
        <w:t>, 2020)</w:t>
      </w:r>
      <w:r w:rsidR="00AB5651">
        <w:t xml:space="preserve"> (Copy attached).</w:t>
      </w:r>
      <w:r w:rsidR="0077532E">
        <w:t xml:space="preserve">  </w:t>
      </w:r>
      <w:r w:rsidR="006A7CFD">
        <w:rPr>
          <w:color w:val="000000" w:themeColor="text1"/>
        </w:rPr>
        <w:t xml:space="preserve">The form must be filed by the deadline set forth in the Order for Hearing by Electronic Means.  </w:t>
      </w:r>
      <w:r w:rsidR="00AA47FD">
        <w:rPr>
          <w:color w:val="000000" w:themeColor="text1"/>
        </w:rPr>
        <w:t>When filing</w:t>
      </w:r>
      <w:r w:rsidR="00C6295D">
        <w:rPr>
          <w:color w:val="000000" w:themeColor="text1"/>
        </w:rPr>
        <w:t xml:space="preserve"> the executed form</w:t>
      </w:r>
      <w:r w:rsidR="00AA47FD">
        <w:rPr>
          <w:color w:val="000000" w:themeColor="text1"/>
        </w:rPr>
        <w:t xml:space="preserve">, please </w:t>
      </w:r>
      <w:r w:rsidR="00AA47FD" w:rsidRPr="006D228A">
        <w:rPr>
          <w:color w:val="000000" w:themeColor="text1"/>
        </w:rPr>
        <w:t>use the event in CM/ECF titled “</w:t>
      </w:r>
      <w:r w:rsidR="00AA47FD">
        <w:rPr>
          <w:color w:val="000000" w:themeColor="text1"/>
        </w:rPr>
        <w:t>Defendant Statement (VTC</w:t>
      </w:r>
      <w:r w:rsidR="009629CF">
        <w:rPr>
          <w:color w:val="000000" w:themeColor="text1"/>
        </w:rPr>
        <w:t xml:space="preserve"> Hearing</w:t>
      </w:r>
      <w:r w:rsidR="00AA47FD">
        <w:rPr>
          <w:color w:val="000000" w:themeColor="text1"/>
        </w:rPr>
        <w:t>)</w:t>
      </w:r>
      <w:r w:rsidR="00AA47FD" w:rsidRPr="006D228A">
        <w:rPr>
          <w:color w:val="000000" w:themeColor="text1"/>
        </w:rPr>
        <w:t>” located under C</w:t>
      </w:r>
      <w:r w:rsidR="00AA47FD">
        <w:rPr>
          <w:color w:val="000000" w:themeColor="text1"/>
        </w:rPr>
        <w:t>riminal</w:t>
      </w:r>
      <w:r w:rsidR="00AA47FD" w:rsidRPr="006D228A">
        <w:rPr>
          <w:color w:val="000000" w:themeColor="text1"/>
        </w:rPr>
        <w:t xml:space="preserve"> Events → Other Filings → </w:t>
      </w:r>
      <w:r w:rsidR="00AA47FD">
        <w:rPr>
          <w:color w:val="000000" w:themeColor="text1"/>
        </w:rPr>
        <w:t>Other</w:t>
      </w:r>
      <w:r w:rsidR="00AA47FD" w:rsidRPr="006D228A">
        <w:rPr>
          <w:color w:val="000000" w:themeColor="text1"/>
        </w:rPr>
        <w:t xml:space="preserve"> Documents</w:t>
      </w:r>
      <w:r w:rsidR="00AA47FD">
        <w:rPr>
          <w:color w:val="000000" w:themeColor="text1"/>
        </w:rPr>
        <w:t>.</w:t>
      </w:r>
    </w:p>
    <w:p w14:paraId="179999B0" w14:textId="77777777" w:rsidR="00AA47FD" w:rsidRDefault="00AA47FD" w:rsidP="009629CF">
      <w:pPr>
        <w:pStyle w:val="ListParagraph"/>
        <w:widowControl/>
        <w:jc w:val="both"/>
        <w:rPr>
          <w:color w:val="000000" w:themeColor="text1"/>
        </w:rPr>
      </w:pPr>
    </w:p>
    <w:p w14:paraId="04C0D9E6" w14:textId="02585BB9" w:rsidR="00170AAB" w:rsidRDefault="00170AAB" w:rsidP="009629CF">
      <w:pPr>
        <w:pStyle w:val="ListParagraph"/>
        <w:widowControl/>
        <w:numPr>
          <w:ilvl w:val="0"/>
          <w:numId w:val="25"/>
        </w:numPr>
        <w:ind w:left="720" w:firstLine="360"/>
        <w:jc w:val="both"/>
        <w:rPr>
          <w:color w:val="000000" w:themeColor="text1"/>
        </w:rPr>
      </w:pPr>
      <w:r>
        <w:rPr>
          <w:color w:val="000000" w:themeColor="text1"/>
        </w:rPr>
        <w:t xml:space="preserve">If </w:t>
      </w:r>
      <w:r w:rsidR="00C6295D">
        <w:rPr>
          <w:color w:val="000000" w:themeColor="text1"/>
        </w:rPr>
        <w:t>the Court has previously</w:t>
      </w:r>
      <w:r>
        <w:rPr>
          <w:color w:val="000000" w:themeColor="text1"/>
        </w:rPr>
        <w:t xml:space="preserve"> </w:t>
      </w:r>
      <w:r w:rsidR="00C6295D">
        <w:rPr>
          <w:color w:val="000000" w:themeColor="text1"/>
        </w:rPr>
        <w:t>s</w:t>
      </w:r>
      <w:r>
        <w:rPr>
          <w:color w:val="000000" w:themeColor="text1"/>
        </w:rPr>
        <w:t xml:space="preserve">cheduled </w:t>
      </w:r>
      <w:r w:rsidR="00C6295D">
        <w:rPr>
          <w:color w:val="000000" w:themeColor="text1"/>
        </w:rPr>
        <w:t>an in person hearing</w:t>
      </w:r>
      <w:r>
        <w:rPr>
          <w:color w:val="000000" w:themeColor="text1"/>
        </w:rPr>
        <w:t xml:space="preserve"> and Defendant </w:t>
      </w:r>
      <w:r w:rsidR="00C6295D">
        <w:rPr>
          <w:color w:val="000000" w:themeColor="text1"/>
        </w:rPr>
        <w:t xml:space="preserve">timely </w:t>
      </w:r>
      <w:r>
        <w:rPr>
          <w:color w:val="000000" w:themeColor="text1"/>
        </w:rPr>
        <w:t xml:space="preserve">consents to </w:t>
      </w:r>
      <w:r w:rsidR="00C6295D">
        <w:rPr>
          <w:color w:val="000000" w:themeColor="text1"/>
        </w:rPr>
        <w:t>having the hearing</w:t>
      </w:r>
      <w:r>
        <w:rPr>
          <w:color w:val="000000" w:themeColor="text1"/>
        </w:rPr>
        <w:t xml:space="preserve"> by electronic means, </w:t>
      </w:r>
      <w:r w:rsidR="0078111D">
        <w:rPr>
          <w:color w:val="000000" w:themeColor="text1"/>
        </w:rPr>
        <w:t xml:space="preserve">the CRDC will try to </w:t>
      </w:r>
      <w:r w:rsidR="00C6295D">
        <w:rPr>
          <w:color w:val="000000" w:themeColor="text1"/>
        </w:rPr>
        <w:t>schedule</w:t>
      </w:r>
      <w:r w:rsidR="0078111D">
        <w:rPr>
          <w:color w:val="000000" w:themeColor="text1"/>
        </w:rPr>
        <w:t xml:space="preserve"> a VTC hearing </w:t>
      </w:r>
      <w:r w:rsidR="00C6295D">
        <w:rPr>
          <w:color w:val="000000" w:themeColor="text1"/>
        </w:rPr>
        <w:t>at the same</w:t>
      </w:r>
      <w:r w:rsidR="0078111D">
        <w:rPr>
          <w:color w:val="000000" w:themeColor="text1"/>
        </w:rPr>
        <w:t xml:space="preserve"> date</w:t>
      </w:r>
      <w:r w:rsidR="00C6295D">
        <w:rPr>
          <w:color w:val="000000" w:themeColor="text1"/>
        </w:rPr>
        <w:t xml:space="preserve"> and time as previously scheduled</w:t>
      </w:r>
      <w:r w:rsidR="0078111D">
        <w:rPr>
          <w:color w:val="000000" w:themeColor="text1"/>
        </w:rPr>
        <w:t>.  However, due to limited resources and strains on current technology, there may be a need to reschedule the hearing for a date when VTC is available.  Once a VTC hearing date is confirmed, c</w:t>
      </w:r>
      <w:r w:rsidR="009629CF">
        <w:rPr>
          <w:color w:val="000000" w:themeColor="text1"/>
        </w:rPr>
        <w:t xml:space="preserve">ounsel for </w:t>
      </w:r>
      <w:r>
        <w:rPr>
          <w:color w:val="000000" w:themeColor="text1"/>
        </w:rPr>
        <w:t xml:space="preserve">the parties will receive an email from the </w:t>
      </w:r>
      <w:r w:rsidR="0078111D">
        <w:rPr>
          <w:color w:val="000000" w:themeColor="text1"/>
        </w:rPr>
        <w:t>CRDC</w:t>
      </w:r>
      <w:r>
        <w:rPr>
          <w:color w:val="000000" w:themeColor="text1"/>
        </w:rPr>
        <w:t xml:space="preserve"> containing specific instructions and participant information for the video conference &amp;/or telephon</w:t>
      </w:r>
      <w:r w:rsidR="006A7CFD">
        <w:rPr>
          <w:color w:val="000000" w:themeColor="text1"/>
        </w:rPr>
        <w:t>ic</w:t>
      </w:r>
      <w:r>
        <w:rPr>
          <w:color w:val="000000" w:themeColor="text1"/>
        </w:rPr>
        <w:t xml:space="preserve"> conference.</w:t>
      </w:r>
      <w:r w:rsidR="00AA47FD">
        <w:rPr>
          <w:color w:val="000000" w:themeColor="text1"/>
        </w:rPr>
        <w:t xml:space="preserve">  However, please review </w:t>
      </w:r>
      <w:r w:rsidR="00C6295D">
        <w:rPr>
          <w:color w:val="000000" w:themeColor="text1"/>
        </w:rPr>
        <w:t xml:space="preserve">in advance </w:t>
      </w:r>
      <w:r w:rsidR="00AA47FD">
        <w:rPr>
          <w:color w:val="000000" w:themeColor="text1"/>
        </w:rPr>
        <w:t xml:space="preserve">the sections below containing general instructions for VTC and </w:t>
      </w:r>
      <w:r w:rsidR="006A7CFD">
        <w:rPr>
          <w:color w:val="000000" w:themeColor="text1"/>
        </w:rPr>
        <w:t xml:space="preserve">Telephonic </w:t>
      </w:r>
      <w:r w:rsidR="00AA47FD">
        <w:rPr>
          <w:color w:val="000000" w:themeColor="text1"/>
        </w:rPr>
        <w:t>Conferences.</w:t>
      </w:r>
    </w:p>
    <w:p w14:paraId="417C0E8B" w14:textId="4F46AF34" w:rsidR="00170AAB" w:rsidRDefault="00170AAB" w:rsidP="009629CF">
      <w:pPr>
        <w:pStyle w:val="ListParagraph"/>
        <w:widowControl/>
        <w:jc w:val="both"/>
        <w:rPr>
          <w:color w:val="000000" w:themeColor="text1"/>
        </w:rPr>
      </w:pPr>
    </w:p>
    <w:p w14:paraId="65BC4D62" w14:textId="721EC6B8" w:rsidR="00170AAB" w:rsidRDefault="00C6295D" w:rsidP="009629CF">
      <w:pPr>
        <w:pStyle w:val="ListParagraph"/>
        <w:widowControl/>
        <w:numPr>
          <w:ilvl w:val="0"/>
          <w:numId w:val="25"/>
        </w:numPr>
        <w:ind w:left="720" w:firstLine="360"/>
        <w:jc w:val="both"/>
        <w:rPr>
          <w:color w:val="000000" w:themeColor="text1"/>
        </w:rPr>
      </w:pPr>
      <w:r>
        <w:rPr>
          <w:color w:val="000000" w:themeColor="text1"/>
        </w:rPr>
        <w:t xml:space="preserve">If the Court has previously scheduled an in person hearing and Defendant does not consent to having the hearing by electronic means, </w:t>
      </w:r>
      <w:r w:rsidR="001C760F">
        <w:rPr>
          <w:color w:val="000000" w:themeColor="text1"/>
        </w:rPr>
        <w:t xml:space="preserve">the hearing will be cancelled until such time as Defendant consents or the Court determines that it can safely conduct </w:t>
      </w:r>
      <w:r>
        <w:rPr>
          <w:color w:val="000000" w:themeColor="text1"/>
        </w:rPr>
        <w:t>the</w:t>
      </w:r>
      <w:r w:rsidR="001C760F">
        <w:rPr>
          <w:color w:val="000000" w:themeColor="text1"/>
        </w:rPr>
        <w:t xml:space="preserve"> hearing in-person.</w:t>
      </w:r>
    </w:p>
    <w:p w14:paraId="0427AB26" w14:textId="00DD790C" w:rsidR="00170AAB" w:rsidRDefault="00170AAB" w:rsidP="009629CF">
      <w:pPr>
        <w:pStyle w:val="ListParagraph"/>
        <w:widowControl/>
        <w:jc w:val="both"/>
        <w:rPr>
          <w:color w:val="000000" w:themeColor="text1"/>
        </w:rPr>
      </w:pPr>
    </w:p>
    <w:p w14:paraId="4B79633A" w14:textId="21BA68C5" w:rsidR="00170AAB" w:rsidRDefault="00170AAB" w:rsidP="009629CF">
      <w:pPr>
        <w:pStyle w:val="ListParagraph"/>
        <w:widowControl/>
        <w:numPr>
          <w:ilvl w:val="0"/>
          <w:numId w:val="25"/>
        </w:numPr>
        <w:ind w:left="720" w:firstLine="360"/>
        <w:jc w:val="both"/>
        <w:rPr>
          <w:color w:val="000000" w:themeColor="text1"/>
        </w:rPr>
      </w:pPr>
      <w:r>
        <w:rPr>
          <w:color w:val="000000" w:themeColor="text1"/>
        </w:rPr>
        <w:t>If a hearing date and time has not yet been scheduled by the Court</w:t>
      </w:r>
      <w:r w:rsidR="001C760F">
        <w:rPr>
          <w:color w:val="000000" w:themeColor="text1"/>
        </w:rPr>
        <w:t xml:space="preserve"> and Defendant consents to proceed by electronic means</w:t>
      </w:r>
      <w:r>
        <w:rPr>
          <w:color w:val="000000" w:themeColor="text1"/>
        </w:rPr>
        <w:t xml:space="preserve">, the </w:t>
      </w:r>
      <w:r w:rsidR="0078111D">
        <w:rPr>
          <w:color w:val="000000" w:themeColor="text1"/>
        </w:rPr>
        <w:t>CRDC</w:t>
      </w:r>
      <w:r w:rsidR="001C760F">
        <w:rPr>
          <w:color w:val="000000" w:themeColor="text1"/>
        </w:rPr>
        <w:t xml:space="preserve"> will coordinate an available time for the hearing and will issue a Notice of Hearing in the case.  </w:t>
      </w:r>
      <w:r w:rsidR="00A31261">
        <w:rPr>
          <w:color w:val="000000" w:themeColor="text1"/>
        </w:rPr>
        <w:t xml:space="preserve">Due to limited resources and strains on current technology, there may be a </w:t>
      </w:r>
      <w:r w:rsidR="006A7CFD">
        <w:rPr>
          <w:color w:val="000000" w:themeColor="text1"/>
        </w:rPr>
        <w:t xml:space="preserve">slight </w:t>
      </w:r>
      <w:r w:rsidR="00A31261">
        <w:rPr>
          <w:color w:val="000000" w:themeColor="text1"/>
        </w:rPr>
        <w:t>delay in scheduling the VTC hearing.  Once a VTC hearing date is confirmed, c</w:t>
      </w:r>
      <w:r w:rsidR="009629CF">
        <w:rPr>
          <w:color w:val="000000" w:themeColor="text1"/>
        </w:rPr>
        <w:t>ounsel for t</w:t>
      </w:r>
      <w:r w:rsidR="001C760F">
        <w:rPr>
          <w:color w:val="000000" w:themeColor="text1"/>
        </w:rPr>
        <w:t xml:space="preserve">he parties will receive an email from </w:t>
      </w:r>
      <w:r w:rsidR="001C760F">
        <w:rPr>
          <w:color w:val="000000" w:themeColor="text1"/>
        </w:rPr>
        <w:lastRenderedPageBreak/>
        <w:t xml:space="preserve">the </w:t>
      </w:r>
      <w:r w:rsidR="0078111D">
        <w:rPr>
          <w:color w:val="000000" w:themeColor="text1"/>
        </w:rPr>
        <w:t>CRDC</w:t>
      </w:r>
      <w:r w:rsidR="001C760F">
        <w:rPr>
          <w:color w:val="000000" w:themeColor="text1"/>
        </w:rPr>
        <w:t xml:space="preserve"> in advance of the hearing containing specific instructions and participant information for the video conference &amp;/or telephon</w:t>
      </w:r>
      <w:r w:rsidR="00540DC9">
        <w:rPr>
          <w:color w:val="000000" w:themeColor="text1"/>
        </w:rPr>
        <w:t>ic</w:t>
      </w:r>
      <w:r w:rsidR="001C760F">
        <w:rPr>
          <w:color w:val="000000" w:themeColor="text1"/>
        </w:rPr>
        <w:t xml:space="preserve"> conference.</w:t>
      </w:r>
      <w:r w:rsidR="00AA47FD">
        <w:rPr>
          <w:color w:val="000000" w:themeColor="text1"/>
        </w:rPr>
        <w:t xml:space="preserve">  However, please review the sections below containing general instructions for VTC and </w:t>
      </w:r>
      <w:r w:rsidR="00540DC9">
        <w:rPr>
          <w:color w:val="000000" w:themeColor="text1"/>
        </w:rPr>
        <w:t xml:space="preserve">Telephonic </w:t>
      </w:r>
      <w:r w:rsidR="00AA47FD">
        <w:rPr>
          <w:color w:val="000000" w:themeColor="text1"/>
        </w:rPr>
        <w:t>Conferences.</w:t>
      </w:r>
    </w:p>
    <w:p w14:paraId="1E697CB8" w14:textId="4FE25145" w:rsidR="001C760F" w:rsidRDefault="001C760F" w:rsidP="009629CF">
      <w:pPr>
        <w:pStyle w:val="ListParagraph"/>
        <w:widowControl/>
        <w:jc w:val="both"/>
        <w:rPr>
          <w:color w:val="000000" w:themeColor="text1"/>
        </w:rPr>
      </w:pPr>
    </w:p>
    <w:p w14:paraId="3854A746" w14:textId="07522503" w:rsidR="001C760F" w:rsidRDefault="001C760F" w:rsidP="009629CF">
      <w:pPr>
        <w:pStyle w:val="ListParagraph"/>
        <w:widowControl/>
        <w:numPr>
          <w:ilvl w:val="0"/>
          <w:numId w:val="25"/>
        </w:numPr>
        <w:ind w:left="720" w:firstLine="360"/>
        <w:jc w:val="both"/>
        <w:rPr>
          <w:color w:val="000000" w:themeColor="text1"/>
        </w:rPr>
      </w:pPr>
      <w:r>
        <w:rPr>
          <w:color w:val="000000" w:themeColor="text1"/>
        </w:rPr>
        <w:t xml:space="preserve">If a hearing date and time has not yet been scheduled by the Court and Defendant does not consent to </w:t>
      </w:r>
      <w:r w:rsidR="006A7CFD">
        <w:rPr>
          <w:color w:val="000000" w:themeColor="text1"/>
        </w:rPr>
        <w:t>having the hearing</w:t>
      </w:r>
      <w:r>
        <w:rPr>
          <w:color w:val="000000" w:themeColor="text1"/>
        </w:rPr>
        <w:t xml:space="preserve"> by electronic means, a hearing will not be scheduled until </w:t>
      </w:r>
      <w:r w:rsidR="00AA47FD">
        <w:rPr>
          <w:color w:val="000000" w:themeColor="text1"/>
        </w:rPr>
        <w:t xml:space="preserve">such time as </w:t>
      </w:r>
      <w:r>
        <w:rPr>
          <w:color w:val="000000" w:themeColor="text1"/>
        </w:rPr>
        <w:t xml:space="preserve">the Court determines that it can safely conduct </w:t>
      </w:r>
      <w:r w:rsidR="006A7CFD">
        <w:rPr>
          <w:color w:val="000000" w:themeColor="text1"/>
        </w:rPr>
        <w:t xml:space="preserve">the hearing </w:t>
      </w:r>
      <w:r>
        <w:rPr>
          <w:color w:val="000000" w:themeColor="text1"/>
        </w:rPr>
        <w:t>in-person.</w:t>
      </w:r>
    </w:p>
    <w:p w14:paraId="3FA0B2D2" w14:textId="12F8EA13" w:rsidR="001C760F" w:rsidRDefault="001C760F" w:rsidP="009629CF">
      <w:pPr>
        <w:pStyle w:val="ListParagraph"/>
        <w:widowControl/>
        <w:jc w:val="both"/>
        <w:rPr>
          <w:color w:val="000000" w:themeColor="text1"/>
        </w:rPr>
      </w:pPr>
    </w:p>
    <w:p w14:paraId="72388ED3" w14:textId="1C99ACAA" w:rsidR="001C760F" w:rsidRDefault="00AA47FD" w:rsidP="009629CF">
      <w:pPr>
        <w:pStyle w:val="ListParagraph"/>
        <w:widowControl/>
        <w:numPr>
          <w:ilvl w:val="0"/>
          <w:numId w:val="25"/>
        </w:numPr>
        <w:ind w:left="720" w:firstLine="360"/>
        <w:jc w:val="both"/>
        <w:rPr>
          <w:b/>
          <w:bCs/>
          <w:u w:val="single"/>
        </w:rPr>
      </w:pPr>
      <w:r>
        <w:rPr>
          <w:color w:val="000000" w:themeColor="text1"/>
        </w:rPr>
        <w:t>During the time period of the COVID-19 national emergency, s</w:t>
      </w:r>
      <w:r w:rsidR="001C760F">
        <w:rPr>
          <w:color w:val="000000" w:themeColor="text1"/>
        </w:rPr>
        <w:t xml:space="preserve">hould Defendant </w:t>
      </w:r>
      <w:r w:rsidR="00C720B1">
        <w:rPr>
          <w:color w:val="000000" w:themeColor="text1"/>
        </w:rPr>
        <w:t>first</w:t>
      </w:r>
      <w:r w:rsidR="006A7CFD">
        <w:rPr>
          <w:color w:val="000000" w:themeColor="text1"/>
        </w:rPr>
        <w:t xml:space="preserve"> decline to proceed by electronic means</w:t>
      </w:r>
      <w:r w:rsidR="00A823BC">
        <w:rPr>
          <w:color w:val="000000" w:themeColor="text1"/>
        </w:rPr>
        <w:t xml:space="preserve"> and</w:t>
      </w:r>
      <w:r w:rsidR="006A7CFD">
        <w:rPr>
          <w:color w:val="000000" w:themeColor="text1"/>
        </w:rPr>
        <w:t xml:space="preserve"> </w:t>
      </w:r>
      <w:r w:rsidR="001C760F">
        <w:rPr>
          <w:color w:val="000000" w:themeColor="text1"/>
        </w:rPr>
        <w:t xml:space="preserve">later decide to consent to proceed </w:t>
      </w:r>
      <w:r w:rsidR="009629CF">
        <w:rPr>
          <w:color w:val="000000" w:themeColor="text1"/>
        </w:rPr>
        <w:t xml:space="preserve">with a hearing </w:t>
      </w:r>
      <w:r w:rsidR="001C760F">
        <w:rPr>
          <w:color w:val="000000" w:themeColor="text1"/>
        </w:rPr>
        <w:t xml:space="preserve">by electronic means, counsel for Defendant </w:t>
      </w:r>
      <w:r>
        <w:rPr>
          <w:color w:val="000000" w:themeColor="text1"/>
        </w:rPr>
        <w:t>is directed to file</w:t>
      </w:r>
      <w:r w:rsidR="001C760F">
        <w:rPr>
          <w:color w:val="000000" w:themeColor="text1"/>
        </w:rPr>
        <w:t xml:space="preserve"> a </w:t>
      </w:r>
      <w:r>
        <w:rPr>
          <w:color w:val="000000" w:themeColor="text1"/>
        </w:rPr>
        <w:t xml:space="preserve">Motion requesting </w:t>
      </w:r>
      <w:r w:rsidR="006A7CFD">
        <w:rPr>
          <w:color w:val="000000" w:themeColor="text1"/>
        </w:rPr>
        <w:t>such a</w:t>
      </w:r>
      <w:r>
        <w:rPr>
          <w:color w:val="000000" w:themeColor="text1"/>
        </w:rPr>
        <w:t xml:space="preserve"> hearing and attach</w:t>
      </w:r>
      <w:r w:rsidR="006A7CFD">
        <w:rPr>
          <w:color w:val="000000" w:themeColor="text1"/>
        </w:rPr>
        <w:t>ing</w:t>
      </w:r>
      <w:r>
        <w:rPr>
          <w:color w:val="000000" w:themeColor="text1"/>
        </w:rPr>
        <w:t xml:space="preserve"> the executed </w:t>
      </w:r>
      <w:r w:rsidR="006A7CFD">
        <w:rPr>
          <w:color w:val="000000" w:themeColor="text1"/>
        </w:rPr>
        <w:t>form entitled “Defendant’s Statement Regarding Appearance Via Electronic Means”</w:t>
      </w:r>
      <w:r>
        <w:rPr>
          <w:color w:val="000000" w:themeColor="text1"/>
        </w:rPr>
        <w:t xml:space="preserve"> provided by the Court.</w:t>
      </w:r>
    </w:p>
    <w:p w14:paraId="31DE193E" w14:textId="365087CF" w:rsidR="00AB6187" w:rsidRDefault="00AB6187">
      <w:pPr>
        <w:widowControl/>
        <w:autoSpaceDE/>
        <w:autoSpaceDN/>
        <w:adjustRightInd/>
        <w:spacing w:after="160" w:line="259" w:lineRule="auto"/>
      </w:pPr>
    </w:p>
    <w:p w14:paraId="7F15BBD4" w14:textId="60AE41E3" w:rsidR="00874B0F" w:rsidRPr="00170AAB" w:rsidRDefault="00874B0F" w:rsidP="00A65014">
      <w:pPr>
        <w:pStyle w:val="ListParagraph"/>
        <w:widowControl/>
        <w:numPr>
          <w:ilvl w:val="0"/>
          <w:numId w:val="8"/>
        </w:numPr>
        <w:ind w:hanging="720"/>
      </w:pPr>
      <w:bookmarkStart w:id="2" w:name="_Hlk36804422"/>
      <w:r>
        <w:rPr>
          <w:b/>
          <w:bCs/>
          <w:u w:val="single"/>
        </w:rPr>
        <w:t>Hearings</w:t>
      </w:r>
      <w:r w:rsidR="009629CF">
        <w:rPr>
          <w:b/>
          <w:bCs/>
          <w:u w:val="single"/>
        </w:rPr>
        <w:t xml:space="preserve"> Conducted Via Electronic Means (Change of Plea, Sentencing, and Final Revocation – Supervised Release)</w:t>
      </w:r>
    </w:p>
    <w:p w14:paraId="64DB9A14" w14:textId="7F4C8F41" w:rsidR="00170AAB" w:rsidRPr="006D6BF2" w:rsidRDefault="00170AAB" w:rsidP="00170AAB">
      <w:pPr>
        <w:pStyle w:val="ListParagraph"/>
        <w:widowControl/>
      </w:pPr>
    </w:p>
    <w:p w14:paraId="6597AB56" w14:textId="754E18C5" w:rsidR="00C2047F" w:rsidRDefault="00C2047F" w:rsidP="00C5049C">
      <w:pPr>
        <w:pStyle w:val="ListParagraph"/>
        <w:widowControl/>
        <w:numPr>
          <w:ilvl w:val="0"/>
          <w:numId w:val="25"/>
        </w:numPr>
        <w:ind w:left="720" w:firstLine="360"/>
        <w:jc w:val="both"/>
      </w:pPr>
      <w:r>
        <w:t xml:space="preserve">All persons granted access to any VTC or Telephonic Conference Hearing will do so remotely.  </w:t>
      </w:r>
      <w:r w:rsidR="007A5CA9">
        <w:t>Absent prior approval of the Court, o</w:t>
      </w:r>
      <w:r>
        <w:t xml:space="preserve">nly the </w:t>
      </w:r>
      <w:r w:rsidR="007A5CA9">
        <w:t xml:space="preserve">presiding judge </w:t>
      </w:r>
      <w:r>
        <w:t xml:space="preserve">and any essential court staff will be physically present in the courtroom.  All other persons, including attorneys, probation officers, marshals, witnesses, and victims must attend remotely </w:t>
      </w:r>
      <w:r w:rsidR="007A5CA9">
        <w:t xml:space="preserve">(i.e. by electronic means) </w:t>
      </w:r>
      <w:r>
        <w:t xml:space="preserve">to safeguard the health and safety of </w:t>
      </w:r>
      <w:r w:rsidR="007A5CA9">
        <w:t>the hearing participants and the public</w:t>
      </w:r>
      <w:r>
        <w:t xml:space="preserve">.  </w:t>
      </w:r>
      <w:r w:rsidR="00F911C6">
        <w:t>If Defendant is detained</w:t>
      </w:r>
      <w:r>
        <w:t xml:space="preserve">, through coordination of the United States Marshals Service, </w:t>
      </w:r>
      <w:r w:rsidR="00F911C6">
        <w:t xml:space="preserve">Defendant </w:t>
      </w:r>
      <w:r>
        <w:t xml:space="preserve">will remotely participate in </w:t>
      </w:r>
      <w:r w:rsidR="00F911C6">
        <w:t>the</w:t>
      </w:r>
      <w:r>
        <w:t xml:space="preserve"> hearing from </w:t>
      </w:r>
      <w:r w:rsidR="00F911C6">
        <w:t>Defendant’s</w:t>
      </w:r>
      <w:r>
        <w:t xml:space="preserve"> holding facili</w:t>
      </w:r>
      <w:r w:rsidR="00F911C6">
        <w:t xml:space="preserve">ty.  If Defendant is on pretrial release, Defendant </w:t>
      </w:r>
      <w:r w:rsidR="00C720B1">
        <w:t>will remotely participate</w:t>
      </w:r>
      <w:r w:rsidR="00F911C6">
        <w:t xml:space="preserve"> in the hearing </w:t>
      </w:r>
      <w:r>
        <w:t xml:space="preserve">through coordination </w:t>
      </w:r>
      <w:r w:rsidR="00F911C6">
        <w:t>with Defendant’s</w:t>
      </w:r>
      <w:r>
        <w:t xml:space="preserve"> counsel.</w:t>
      </w:r>
      <w:r w:rsidR="008071C1" w:rsidRPr="008071C1">
        <w:rPr>
          <w:rStyle w:val="FootnoteReference"/>
          <w:vertAlign w:val="superscript"/>
        </w:rPr>
        <w:footnoteReference w:id="1"/>
      </w:r>
    </w:p>
    <w:p w14:paraId="1C8C69EC" w14:textId="77777777" w:rsidR="00C2047F" w:rsidRDefault="00C2047F" w:rsidP="00C2047F">
      <w:pPr>
        <w:widowControl/>
        <w:ind w:left="720"/>
        <w:jc w:val="both"/>
      </w:pPr>
    </w:p>
    <w:p w14:paraId="59271718" w14:textId="30A92FB3" w:rsidR="00C5049C" w:rsidRDefault="00C5049C" w:rsidP="00C5049C">
      <w:pPr>
        <w:pStyle w:val="ListParagraph"/>
        <w:widowControl/>
        <w:numPr>
          <w:ilvl w:val="0"/>
          <w:numId w:val="25"/>
        </w:numPr>
        <w:ind w:left="720" w:firstLine="360"/>
        <w:jc w:val="both"/>
      </w:pPr>
      <w:r>
        <w:t xml:space="preserve">Persons granted remote access to any VTC or </w:t>
      </w:r>
      <w:r w:rsidR="00540DC9">
        <w:rPr>
          <w:color w:val="000000" w:themeColor="text1"/>
        </w:rPr>
        <w:t xml:space="preserve">Telephonic </w:t>
      </w:r>
      <w:r>
        <w:t xml:space="preserve">Conference Hearing are reminded of the general prohibition against photographing, recording, and rebroadcasting </w:t>
      </w:r>
      <w:r w:rsidR="006A7CFD">
        <w:t xml:space="preserve">any </w:t>
      </w:r>
      <w:r>
        <w:t xml:space="preserve">court proceedings. </w:t>
      </w:r>
      <w:r w:rsidR="00540DC9">
        <w:t xml:space="preserve"> </w:t>
      </w:r>
      <w:r>
        <w:t xml:space="preserve">Violation of these prohibitions may result in sanctions, including </w:t>
      </w:r>
      <w:r w:rsidR="006A7CFD">
        <w:t xml:space="preserve">contempt proceedings, </w:t>
      </w:r>
      <w:r>
        <w:t>removal of court issued media credentials, restricted entry to future hearings, denial of entry to future hearings, or any other sanctions deemed necessary by the court.  Counsel should adequately advise any witness, victim, family member or other public party that they intend to have present or participate in the hearing of this prohibition.</w:t>
      </w:r>
    </w:p>
    <w:p w14:paraId="6720C832" w14:textId="77777777" w:rsidR="00C5049C" w:rsidRDefault="00C5049C" w:rsidP="00C5049C">
      <w:pPr>
        <w:widowControl/>
        <w:ind w:left="720"/>
        <w:jc w:val="both"/>
      </w:pPr>
    </w:p>
    <w:bookmarkEnd w:id="2"/>
    <w:p w14:paraId="7FF6E4D8" w14:textId="6402B623" w:rsidR="002C5F54" w:rsidRDefault="009629CF" w:rsidP="00257FC2">
      <w:pPr>
        <w:pStyle w:val="ListParagraph"/>
        <w:numPr>
          <w:ilvl w:val="0"/>
          <w:numId w:val="25"/>
        </w:numPr>
        <w:ind w:left="720" w:firstLine="360"/>
        <w:jc w:val="both"/>
        <w:rPr>
          <w:color w:val="000000" w:themeColor="text1"/>
        </w:rPr>
      </w:pPr>
      <w:proofErr w:type="gramStart"/>
      <w:r>
        <w:t>With regard</w:t>
      </w:r>
      <w:r w:rsidR="00B975D3">
        <w:t xml:space="preserve"> </w:t>
      </w:r>
      <w:r>
        <w:t>to</w:t>
      </w:r>
      <w:proofErr w:type="gramEnd"/>
      <w:r>
        <w:t xml:space="preserve"> any </w:t>
      </w:r>
      <w:r w:rsidR="006A63A4">
        <w:t>s</w:t>
      </w:r>
      <w:r>
        <w:t xml:space="preserve">entencing </w:t>
      </w:r>
      <w:r w:rsidR="006A63A4">
        <w:t>h</w:t>
      </w:r>
      <w:r>
        <w:t>earing</w:t>
      </w:r>
      <w:r w:rsidR="006A63A4">
        <w:t xml:space="preserve"> held by electronic means</w:t>
      </w:r>
      <w:r>
        <w:t>, the</w:t>
      </w:r>
      <w:r w:rsidR="00881A2B">
        <w:t xml:space="preserve"> draft and final presentenc</w:t>
      </w:r>
      <w:r w:rsidR="00B975D3">
        <w:t>e</w:t>
      </w:r>
      <w:r w:rsidR="00881A2B">
        <w:t xml:space="preserve"> investigation reports will be </w:t>
      </w:r>
      <w:r w:rsidR="008A5565">
        <w:t xml:space="preserve">docketed in CM/ECF and </w:t>
      </w:r>
      <w:r w:rsidR="000208A8">
        <w:t xml:space="preserve">only </w:t>
      </w:r>
      <w:r w:rsidR="008A5565">
        <w:t>accessible by defen</w:t>
      </w:r>
      <w:r w:rsidR="000208A8">
        <w:t>se</w:t>
      </w:r>
      <w:r w:rsidR="008A5565">
        <w:t xml:space="preserve"> counsel and the U.S. Attorney’s Office</w:t>
      </w:r>
      <w:r w:rsidR="00881A2B">
        <w:t>.  Any objections to the PSR should be emailed to the probation officer</w:t>
      </w:r>
      <w:r w:rsidR="002C5F54">
        <w:t xml:space="preserve"> assigned to the case.  Any letters of support on behalf of </w:t>
      </w:r>
      <w:r w:rsidR="002C5F54">
        <w:lastRenderedPageBreak/>
        <w:t>the defendant should be emailed to Judge Hall’s Courtroom Deputy Clerk (“CRDC”)</w:t>
      </w:r>
      <w:r w:rsidR="00B975D3">
        <w:t xml:space="preserve"> Lisa Widener</w:t>
      </w:r>
      <w:r w:rsidR="002C5F54">
        <w:t xml:space="preserve"> at </w:t>
      </w:r>
      <w:hyperlink r:id="rId11" w:history="1">
        <w:r w:rsidR="00B975D3" w:rsidRPr="000B4FA0">
          <w:rPr>
            <w:rStyle w:val="Hyperlink"/>
          </w:rPr>
          <w:t>lisa_widener@gas.uscourts.gov</w:t>
        </w:r>
      </w:hyperlink>
      <w:r w:rsidR="0097045C">
        <w:rPr>
          <w:color w:val="000000" w:themeColor="text1"/>
        </w:rPr>
        <w:t xml:space="preserve"> no later than 48 hours prior to the hearing.</w:t>
      </w:r>
    </w:p>
    <w:p w14:paraId="7244E5ED" w14:textId="77777777" w:rsidR="00C67DBD" w:rsidRPr="00C67DBD" w:rsidRDefault="00C67DBD" w:rsidP="00C67DBD">
      <w:pPr>
        <w:pStyle w:val="ListParagraph"/>
        <w:rPr>
          <w:color w:val="000000" w:themeColor="text1"/>
        </w:rPr>
      </w:pPr>
    </w:p>
    <w:p w14:paraId="3720A02F" w14:textId="73F944A9" w:rsidR="006D6BF2" w:rsidRDefault="006D6BF2" w:rsidP="009629CF">
      <w:pPr>
        <w:pStyle w:val="ListParagraph"/>
        <w:widowControl/>
        <w:numPr>
          <w:ilvl w:val="0"/>
          <w:numId w:val="25"/>
        </w:numPr>
        <w:ind w:left="720" w:firstLine="360"/>
        <w:jc w:val="both"/>
      </w:pPr>
      <w:bookmarkStart w:id="4" w:name="_GoBack"/>
      <w:bookmarkEnd w:id="4"/>
      <w:r>
        <w:t>In advance of any Change of Plea Hearing</w:t>
      </w:r>
      <w:r w:rsidR="006A63A4">
        <w:t xml:space="preserve"> </w:t>
      </w:r>
      <w:r w:rsidR="00540DC9">
        <w:t xml:space="preserve">held </w:t>
      </w:r>
      <w:r w:rsidR="006A63A4">
        <w:t>by electronic means</w:t>
      </w:r>
      <w:r>
        <w:t>, it will be the responsibility of the A</w:t>
      </w:r>
      <w:r w:rsidR="006A63A4">
        <w:t xml:space="preserve">ssistant </w:t>
      </w:r>
      <w:r>
        <w:t>U</w:t>
      </w:r>
      <w:r w:rsidR="006A63A4">
        <w:t xml:space="preserve">nited </w:t>
      </w:r>
      <w:r>
        <w:t>S</w:t>
      </w:r>
      <w:r w:rsidR="006A63A4">
        <w:t xml:space="preserve">tates </w:t>
      </w:r>
      <w:r>
        <w:t>A</w:t>
      </w:r>
      <w:r w:rsidR="006A63A4">
        <w:t xml:space="preserve">ttorney </w:t>
      </w:r>
      <w:r w:rsidR="00540DC9">
        <w:t xml:space="preserve">(“AUSA”) </w:t>
      </w:r>
      <w:r>
        <w:t xml:space="preserve">in the case to provide to the </w:t>
      </w:r>
      <w:r w:rsidR="0078111D">
        <w:t>CRDC</w:t>
      </w:r>
      <w:r>
        <w:t xml:space="preserve"> </w:t>
      </w:r>
      <w:r w:rsidRPr="009629CF">
        <w:rPr>
          <w:b/>
          <w:bCs/>
          <w:i/>
          <w:iCs/>
        </w:rPr>
        <w:t>fully executed copies</w:t>
      </w:r>
      <w:r>
        <w:t xml:space="preserve"> of the below documents required in anticipation of </w:t>
      </w:r>
      <w:r w:rsidR="008E6899">
        <w:t>an</w:t>
      </w:r>
      <w:r>
        <w:t xml:space="preserve"> entry of a guilty plea</w:t>
      </w:r>
      <w:r w:rsidR="006A63A4">
        <w:t xml:space="preserve"> in advance of the hearing</w:t>
      </w:r>
      <w:r>
        <w:t>.</w:t>
      </w:r>
      <w:r w:rsidRPr="006D6BF2">
        <w:rPr>
          <w:rStyle w:val="FootnoteReference"/>
          <w:vertAlign w:val="superscript"/>
        </w:rPr>
        <w:footnoteReference w:id="2"/>
      </w:r>
    </w:p>
    <w:p w14:paraId="7C0E208C" w14:textId="77777777" w:rsidR="009B2CB2" w:rsidRDefault="009B2CB2" w:rsidP="008E6899">
      <w:pPr>
        <w:pStyle w:val="ListParagraph"/>
        <w:widowControl/>
        <w:jc w:val="both"/>
      </w:pPr>
    </w:p>
    <w:p w14:paraId="05CEAAB3" w14:textId="459AA8F1" w:rsidR="006D6BF2" w:rsidRDefault="006D6BF2" w:rsidP="008E6899">
      <w:pPr>
        <w:pStyle w:val="ListParagraph"/>
        <w:widowControl/>
        <w:numPr>
          <w:ilvl w:val="0"/>
          <w:numId w:val="24"/>
        </w:numPr>
        <w:ind w:left="1800"/>
        <w:jc w:val="both"/>
      </w:pPr>
      <w:r>
        <w:t>Summary of Plea Agreement</w:t>
      </w:r>
    </w:p>
    <w:p w14:paraId="594FF2BA" w14:textId="38972E56" w:rsidR="006D6BF2" w:rsidRDefault="00F279DC" w:rsidP="008E6899">
      <w:pPr>
        <w:pStyle w:val="ListParagraph"/>
        <w:widowControl/>
        <w:numPr>
          <w:ilvl w:val="0"/>
          <w:numId w:val="24"/>
        </w:numPr>
        <w:ind w:left="1800"/>
        <w:jc w:val="both"/>
      </w:pPr>
      <w:r>
        <w:t xml:space="preserve">Executed </w:t>
      </w:r>
      <w:r w:rsidR="006D6BF2">
        <w:t>Plea Agreement</w:t>
      </w:r>
    </w:p>
    <w:p w14:paraId="0290CC30" w14:textId="2C85DCA8" w:rsidR="00170AAB" w:rsidRDefault="00170AAB" w:rsidP="008E6899">
      <w:pPr>
        <w:pStyle w:val="ListParagraph"/>
        <w:widowControl/>
        <w:jc w:val="both"/>
      </w:pPr>
    </w:p>
    <w:p w14:paraId="73283E5D" w14:textId="031E4BB6" w:rsidR="00540DC9" w:rsidRDefault="00F279DC" w:rsidP="008E6899">
      <w:pPr>
        <w:pStyle w:val="ListParagraph"/>
        <w:widowControl/>
        <w:numPr>
          <w:ilvl w:val="0"/>
          <w:numId w:val="25"/>
        </w:numPr>
        <w:ind w:left="720" w:firstLine="360"/>
        <w:jc w:val="both"/>
      </w:pPr>
      <w:r w:rsidRPr="00AB6187">
        <w:rPr>
          <w:b/>
          <w:bCs/>
          <w:color w:val="000000" w:themeColor="text1"/>
        </w:rPr>
        <w:t>Should</w:t>
      </w:r>
      <w:r w:rsidRPr="00AB6187">
        <w:rPr>
          <w:b/>
          <w:bCs/>
        </w:rPr>
        <w:t xml:space="preserve"> either party anticipate </w:t>
      </w:r>
      <w:r w:rsidR="00C51BC0" w:rsidRPr="00AB6187">
        <w:rPr>
          <w:b/>
          <w:bCs/>
        </w:rPr>
        <w:t>the need to request</w:t>
      </w:r>
      <w:r w:rsidRPr="00AB6187">
        <w:rPr>
          <w:b/>
          <w:bCs/>
        </w:rPr>
        <w:t xml:space="preserve"> that a hearing or any portion of a hearing be conducted under seal</w:t>
      </w:r>
      <w:r w:rsidR="00C51BC0" w:rsidRPr="00AB6187">
        <w:rPr>
          <w:b/>
          <w:bCs/>
        </w:rPr>
        <w:t xml:space="preserve">, </w:t>
      </w:r>
      <w:r w:rsidR="00AB6187">
        <w:rPr>
          <w:b/>
          <w:bCs/>
        </w:rPr>
        <w:t>counsel for the party</w:t>
      </w:r>
      <w:r w:rsidR="00C51BC0" w:rsidRPr="00AB6187">
        <w:rPr>
          <w:b/>
          <w:bCs/>
        </w:rPr>
        <w:t xml:space="preserve"> must notify the </w:t>
      </w:r>
      <w:r w:rsidR="0078111D">
        <w:rPr>
          <w:b/>
          <w:bCs/>
        </w:rPr>
        <w:t>CRDC</w:t>
      </w:r>
      <w:r w:rsidR="00AB6187">
        <w:rPr>
          <w:b/>
          <w:bCs/>
        </w:rPr>
        <w:t xml:space="preserve"> well in advance of the hearing and</w:t>
      </w:r>
      <w:r w:rsidR="00C51BC0" w:rsidRPr="00AB6187">
        <w:rPr>
          <w:b/>
          <w:bCs/>
        </w:rPr>
        <w:t xml:space="preserve"> </w:t>
      </w:r>
      <w:r w:rsidR="00C51BC0" w:rsidRPr="00AB6187">
        <w:rPr>
          <w:b/>
          <w:bCs/>
          <w:i/>
          <w:iCs/>
        </w:rPr>
        <w:t>at least 72 hours</w:t>
      </w:r>
      <w:r w:rsidR="00C51BC0" w:rsidRPr="00AB6187">
        <w:rPr>
          <w:b/>
          <w:bCs/>
        </w:rPr>
        <w:t xml:space="preserve"> prior to a hearing</w:t>
      </w:r>
      <w:r w:rsidR="00C51BC0">
        <w:t>.</w:t>
      </w:r>
    </w:p>
    <w:p w14:paraId="7AB81583" w14:textId="77777777" w:rsidR="00F279DC" w:rsidRPr="00C51BC0" w:rsidRDefault="00F279DC" w:rsidP="00540DC9">
      <w:pPr>
        <w:widowControl/>
        <w:ind w:left="720"/>
        <w:jc w:val="both"/>
      </w:pPr>
    </w:p>
    <w:p w14:paraId="770979F2" w14:textId="397AC07C" w:rsidR="009B2CB2" w:rsidRPr="00170AAB" w:rsidRDefault="009B2CB2" w:rsidP="00A65014">
      <w:pPr>
        <w:pStyle w:val="ListParagraph"/>
        <w:widowControl/>
        <w:numPr>
          <w:ilvl w:val="0"/>
          <w:numId w:val="8"/>
        </w:numPr>
        <w:ind w:hanging="720"/>
      </w:pPr>
      <w:r>
        <w:rPr>
          <w:b/>
          <w:bCs/>
          <w:u w:val="single"/>
        </w:rPr>
        <w:t>Witnesses</w:t>
      </w:r>
      <w:r w:rsidR="00463BB6">
        <w:rPr>
          <w:b/>
          <w:bCs/>
          <w:u w:val="single"/>
        </w:rPr>
        <w:t>, Victims</w:t>
      </w:r>
      <w:r>
        <w:rPr>
          <w:b/>
          <w:bCs/>
          <w:u w:val="single"/>
        </w:rPr>
        <w:t xml:space="preserve"> and Evidence</w:t>
      </w:r>
    </w:p>
    <w:p w14:paraId="0628C4AF" w14:textId="650E143A" w:rsidR="00170AAB" w:rsidRDefault="00170AAB" w:rsidP="00170AAB">
      <w:pPr>
        <w:pStyle w:val="ListParagraph"/>
        <w:widowControl/>
        <w:rPr>
          <w:b/>
          <w:bCs/>
          <w:u w:val="single"/>
        </w:rPr>
      </w:pPr>
    </w:p>
    <w:p w14:paraId="696506E6" w14:textId="0D4A2D33" w:rsidR="00586B7D" w:rsidRPr="00463BB6" w:rsidRDefault="008E6899" w:rsidP="008E6899">
      <w:pPr>
        <w:pStyle w:val="ListParagraph"/>
        <w:widowControl/>
        <w:numPr>
          <w:ilvl w:val="0"/>
          <w:numId w:val="25"/>
        </w:numPr>
        <w:ind w:left="720" w:firstLine="360"/>
        <w:jc w:val="both"/>
      </w:pPr>
      <w:r w:rsidRPr="008E6899">
        <w:rPr>
          <w:color w:val="000000" w:themeColor="text1"/>
        </w:rPr>
        <w:t>As</w:t>
      </w:r>
      <w:r>
        <w:t xml:space="preserve"> directed in the Court’s Order, </w:t>
      </w:r>
      <w:r w:rsidR="006A63A4">
        <w:t xml:space="preserve">counsel for </w:t>
      </w:r>
      <w:r>
        <w:t xml:space="preserve">each party is responsible for </w:t>
      </w:r>
      <w:proofErr w:type="gramStart"/>
      <w:r>
        <w:t>making arrangements</w:t>
      </w:r>
      <w:proofErr w:type="gramEnd"/>
      <w:r>
        <w:t xml:space="preserve"> for the presentation of any witnesses and/or evidence </w:t>
      </w:r>
      <w:r w:rsidR="006A63A4">
        <w:t>counsel</w:t>
      </w:r>
      <w:r>
        <w:t xml:space="preserve"> anticipate</w:t>
      </w:r>
      <w:r w:rsidR="006A63A4">
        <w:t>s</w:t>
      </w:r>
      <w:r>
        <w:t xml:space="preserve"> </w:t>
      </w:r>
      <w:r w:rsidR="006A63A4">
        <w:t>offering</w:t>
      </w:r>
      <w:r w:rsidR="00F5339C">
        <w:t xml:space="preserve"> </w:t>
      </w:r>
      <w:r>
        <w:t>during a hearing</w:t>
      </w:r>
      <w:r w:rsidR="006A63A4">
        <w:t xml:space="preserve"> by electronic means</w:t>
      </w:r>
      <w:r>
        <w:t xml:space="preserve">.  Therefore, the attorneys must notify the </w:t>
      </w:r>
      <w:r w:rsidR="0078111D">
        <w:t>CRDC</w:t>
      </w:r>
      <w:r w:rsidR="00AB6187">
        <w:t xml:space="preserve"> well in advance of a hearing and</w:t>
      </w:r>
      <w:r>
        <w:t xml:space="preserve"> </w:t>
      </w:r>
      <w:r w:rsidRPr="00F279DC">
        <w:rPr>
          <w:b/>
          <w:bCs/>
          <w:i/>
          <w:iCs/>
        </w:rPr>
        <w:t>at least 72 hours</w:t>
      </w:r>
      <w:r>
        <w:t xml:space="preserve"> prior to a hearing of any anticipated witnesses or evidence</w:t>
      </w:r>
      <w:r w:rsidR="00586B7D">
        <w:t>.</w:t>
      </w:r>
      <w:r w:rsidR="00A370EF">
        <w:t xml:space="preserve">  </w:t>
      </w:r>
      <w:r w:rsidR="00A370EF">
        <w:rPr>
          <w:color w:val="000000" w:themeColor="text1"/>
        </w:rPr>
        <w:t xml:space="preserve">Due to limited resources and strains on current technology, a witness </w:t>
      </w:r>
      <w:r w:rsidR="006A63A4">
        <w:rPr>
          <w:color w:val="000000" w:themeColor="text1"/>
        </w:rPr>
        <w:t>will likely</w:t>
      </w:r>
      <w:r w:rsidR="00A370EF">
        <w:rPr>
          <w:color w:val="000000" w:themeColor="text1"/>
        </w:rPr>
        <w:t xml:space="preserve"> need to attend a VTC hearing with counsel, i.e. </w:t>
      </w:r>
      <w:r w:rsidR="006A63A4">
        <w:rPr>
          <w:color w:val="000000" w:themeColor="text1"/>
        </w:rPr>
        <w:t xml:space="preserve">any </w:t>
      </w:r>
      <w:r w:rsidR="00A370EF">
        <w:rPr>
          <w:color w:val="000000" w:themeColor="text1"/>
        </w:rPr>
        <w:t xml:space="preserve">witness </w:t>
      </w:r>
      <w:r w:rsidR="006A63A4">
        <w:rPr>
          <w:color w:val="000000" w:themeColor="text1"/>
        </w:rPr>
        <w:t xml:space="preserve">will likely need to be in the same physical location as the attorney calling the witness and appearing at the hearing through </w:t>
      </w:r>
      <w:r w:rsidR="00A370EF">
        <w:rPr>
          <w:color w:val="000000" w:themeColor="text1"/>
        </w:rPr>
        <w:t>counsel’s VTC connection; thus, it is imperative that counsel immediately communicate any witness issues or concerns to the CRDC</w:t>
      </w:r>
      <w:r w:rsidR="006A63A4">
        <w:rPr>
          <w:color w:val="000000" w:themeColor="text1"/>
        </w:rPr>
        <w:t xml:space="preserve"> in advance of the hearing</w:t>
      </w:r>
      <w:r w:rsidR="00A370EF">
        <w:rPr>
          <w:color w:val="000000" w:themeColor="text1"/>
        </w:rPr>
        <w:t>.</w:t>
      </w:r>
    </w:p>
    <w:p w14:paraId="152302E7" w14:textId="77777777" w:rsidR="00463BB6" w:rsidRPr="00463BB6" w:rsidRDefault="00463BB6" w:rsidP="00463BB6">
      <w:pPr>
        <w:pStyle w:val="ListParagraph"/>
        <w:widowControl/>
        <w:ind w:left="1080"/>
        <w:jc w:val="both"/>
      </w:pPr>
    </w:p>
    <w:p w14:paraId="21538909" w14:textId="40EF4230" w:rsidR="00463BB6" w:rsidRDefault="00463BB6" w:rsidP="00463BB6">
      <w:pPr>
        <w:pStyle w:val="ListParagraph"/>
        <w:widowControl/>
        <w:numPr>
          <w:ilvl w:val="0"/>
          <w:numId w:val="25"/>
        </w:numPr>
        <w:ind w:left="720" w:firstLine="360"/>
        <w:jc w:val="both"/>
      </w:pPr>
      <w:r>
        <w:t>It will be the responsibility of the U</w:t>
      </w:r>
      <w:r w:rsidR="006A63A4">
        <w:t>nited States</w:t>
      </w:r>
      <w:r>
        <w:t xml:space="preserve"> Attorney’s Office to </w:t>
      </w:r>
      <w:r w:rsidR="006A63A4">
        <w:t xml:space="preserve">notify any victims of any electronic hearings and to </w:t>
      </w:r>
      <w:proofErr w:type="gramStart"/>
      <w:r>
        <w:t>make arrangements</w:t>
      </w:r>
      <w:proofErr w:type="gramEnd"/>
      <w:r>
        <w:t xml:space="preserve"> for any victims </w:t>
      </w:r>
      <w:r w:rsidR="006A63A4">
        <w:t>desiring to participate in the hearing to do so</w:t>
      </w:r>
      <w:r>
        <w:t xml:space="preserve">. </w:t>
      </w:r>
      <w:r w:rsidR="00540DC9">
        <w:t xml:space="preserve"> </w:t>
      </w:r>
      <w:r w:rsidR="006A63A4">
        <w:t>As with witnesses, d</w:t>
      </w:r>
      <w:r w:rsidR="006A63A4">
        <w:rPr>
          <w:color w:val="000000" w:themeColor="text1"/>
        </w:rPr>
        <w:t xml:space="preserve">ue to limited resources and strains on current technology, a victim desiring to participate in the hearing will likely need to attend a VTC hearing with counsel, i.e. any witness will likely need to be in the same physical location as the </w:t>
      </w:r>
      <w:r w:rsidR="00540DC9">
        <w:rPr>
          <w:color w:val="000000" w:themeColor="text1"/>
        </w:rPr>
        <w:t>AUSA</w:t>
      </w:r>
      <w:r w:rsidR="006A63A4">
        <w:rPr>
          <w:color w:val="000000" w:themeColor="text1"/>
        </w:rPr>
        <w:t xml:space="preserve"> and appearing at the hearing through counsel’s VTC connection</w:t>
      </w:r>
      <w:r>
        <w:rPr>
          <w:color w:val="000000" w:themeColor="text1"/>
        </w:rPr>
        <w:t>; thus, it is imperative that counsel immediately communicate any victim issues or concerns to the CRDC</w:t>
      </w:r>
      <w:r w:rsidR="006A63A4">
        <w:rPr>
          <w:color w:val="000000" w:themeColor="text1"/>
        </w:rPr>
        <w:t xml:space="preserve"> in advance of the hearing</w:t>
      </w:r>
      <w:r>
        <w:rPr>
          <w:color w:val="000000" w:themeColor="text1"/>
        </w:rPr>
        <w:t>.</w:t>
      </w:r>
    </w:p>
    <w:p w14:paraId="54BB2D34" w14:textId="77777777" w:rsidR="00586B7D" w:rsidRDefault="00586B7D" w:rsidP="00586B7D">
      <w:pPr>
        <w:widowControl/>
        <w:ind w:left="720"/>
        <w:jc w:val="both"/>
      </w:pPr>
    </w:p>
    <w:p w14:paraId="6F8A6491" w14:textId="12A6037D" w:rsidR="008E6899" w:rsidRDefault="006A63A4" w:rsidP="00AB6187">
      <w:pPr>
        <w:pStyle w:val="ListParagraph"/>
        <w:widowControl/>
        <w:numPr>
          <w:ilvl w:val="0"/>
          <w:numId w:val="25"/>
        </w:numPr>
        <w:ind w:left="720" w:firstLine="360"/>
        <w:jc w:val="both"/>
      </w:pPr>
      <w:r>
        <w:t>Counsel seeking to offer a</w:t>
      </w:r>
      <w:r w:rsidR="00586B7D">
        <w:t xml:space="preserve">ny </w:t>
      </w:r>
      <w:r>
        <w:t xml:space="preserve">exhibits during </w:t>
      </w:r>
      <w:r w:rsidR="006337F5">
        <w:t xml:space="preserve">a </w:t>
      </w:r>
      <w:r>
        <w:t>hearing</w:t>
      </w:r>
      <w:r w:rsidR="006337F5">
        <w:t xml:space="preserve"> by electronic means</w:t>
      </w:r>
      <w:r>
        <w:t xml:space="preserve"> must provide any </w:t>
      </w:r>
      <w:r w:rsidR="00586B7D">
        <w:t>and all e</w:t>
      </w:r>
      <w:r w:rsidR="008E6899">
        <w:t>xhibits</w:t>
      </w:r>
      <w:r w:rsidR="00586B7D">
        <w:t xml:space="preserve"> </w:t>
      </w:r>
      <w:r>
        <w:t>that counsel</w:t>
      </w:r>
      <w:r w:rsidR="00586B7D">
        <w:t xml:space="preserve"> </w:t>
      </w:r>
      <w:r w:rsidR="00586B7D" w:rsidRPr="00586B7D">
        <w:rPr>
          <w:i/>
          <w:iCs/>
        </w:rPr>
        <w:t>may</w:t>
      </w:r>
      <w:r w:rsidR="00586B7D">
        <w:t xml:space="preserve"> use during </w:t>
      </w:r>
      <w:r w:rsidR="006337F5">
        <w:t>the</w:t>
      </w:r>
      <w:r w:rsidR="00586B7D">
        <w:t xml:space="preserve"> hearing</w:t>
      </w:r>
      <w:r w:rsidR="008E6899">
        <w:t xml:space="preserve"> to the </w:t>
      </w:r>
      <w:r w:rsidR="0078111D">
        <w:t>CRDC</w:t>
      </w:r>
      <w:r w:rsidR="008E6899">
        <w:t xml:space="preserve"> </w:t>
      </w:r>
      <w:r w:rsidR="008E6899" w:rsidRPr="00F279DC">
        <w:rPr>
          <w:b/>
          <w:bCs/>
          <w:i/>
          <w:iCs/>
        </w:rPr>
        <w:t>at least 72 hours</w:t>
      </w:r>
      <w:r w:rsidR="00586B7D">
        <w:t xml:space="preserve"> prior to the hearing</w:t>
      </w:r>
      <w:r w:rsidR="008E6899">
        <w:t>.</w:t>
      </w:r>
      <w:r w:rsidR="00586B7D">
        <w:t xml:space="preserve">  </w:t>
      </w:r>
      <w:r>
        <w:t>Counsel must mark the exhibits and provide them</w:t>
      </w:r>
      <w:r w:rsidR="006337F5">
        <w:t xml:space="preserve"> via email</w:t>
      </w:r>
      <w:r>
        <w:t xml:space="preserve"> </w:t>
      </w:r>
      <w:r w:rsidR="00586B7D">
        <w:lastRenderedPageBreak/>
        <w:t xml:space="preserve">to the </w:t>
      </w:r>
      <w:r w:rsidR="0078111D">
        <w:t>CRDC</w:t>
      </w:r>
      <w:r>
        <w:t xml:space="preserve"> in electronic format prior to the hearing.  H</w:t>
      </w:r>
      <w:r w:rsidR="00586B7D">
        <w:t xml:space="preserve">owever, if email is unavailable due to the file type or file size of an exhibit, then the exhibit should be provided </w:t>
      </w:r>
      <w:r w:rsidR="00AB6187">
        <w:t>using</w:t>
      </w:r>
      <w:r w:rsidR="00586B7D">
        <w:t xml:space="preserve"> an alternate electronic method (i</w:t>
      </w:r>
      <w:r w:rsidR="00A370EF">
        <w:t>.</w:t>
      </w:r>
      <w:r w:rsidR="00586B7D">
        <w:t xml:space="preserve">e. </w:t>
      </w:r>
      <w:proofErr w:type="spellStart"/>
      <w:r w:rsidR="00586B7D">
        <w:t>USAFx</w:t>
      </w:r>
      <w:proofErr w:type="spellEnd"/>
      <w:r w:rsidR="00586B7D">
        <w:t>, CD-R, or USB Drive).</w:t>
      </w:r>
      <w:r w:rsidR="00AB6187">
        <w:t xml:space="preserve">  Any questions or concerns </w:t>
      </w:r>
      <w:r w:rsidR="006337F5">
        <w:t>regarding the presentation of exhibits</w:t>
      </w:r>
      <w:r w:rsidR="00AB6187">
        <w:t xml:space="preserve"> should be directed to the </w:t>
      </w:r>
      <w:r w:rsidR="0078111D">
        <w:t>CRDC</w:t>
      </w:r>
      <w:r w:rsidR="00AB6187">
        <w:t xml:space="preserve"> well in advance of any hearing.</w:t>
      </w:r>
    </w:p>
    <w:p w14:paraId="682ADB86" w14:textId="454069B6" w:rsidR="00170AAB" w:rsidRDefault="00170AAB" w:rsidP="00170AAB">
      <w:pPr>
        <w:pStyle w:val="ListParagraph"/>
        <w:widowControl/>
      </w:pPr>
    </w:p>
    <w:p w14:paraId="4FB6A611" w14:textId="307B23B6" w:rsidR="00D971BF" w:rsidRPr="00CA20EC" w:rsidRDefault="00536C07" w:rsidP="00A65014">
      <w:pPr>
        <w:pStyle w:val="ListParagraph"/>
        <w:widowControl/>
        <w:numPr>
          <w:ilvl w:val="0"/>
          <w:numId w:val="8"/>
        </w:numPr>
        <w:ind w:hanging="720"/>
      </w:pPr>
      <w:r>
        <w:rPr>
          <w:b/>
          <w:bCs/>
          <w:u w:val="single"/>
        </w:rPr>
        <w:t>Video Teleconference (“VTC”) Instructions</w:t>
      </w:r>
    </w:p>
    <w:p w14:paraId="2D0DA7BA" w14:textId="56F41739" w:rsidR="00D971BF" w:rsidRDefault="00D971BF" w:rsidP="00D971BF">
      <w:pPr>
        <w:widowControl/>
        <w:jc w:val="both"/>
      </w:pPr>
    </w:p>
    <w:p w14:paraId="6D2BD1C0" w14:textId="032B6ED9" w:rsidR="00AB6187" w:rsidRDefault="003E313E" w:rsidP="003E313E">
      <w:pPr>
        <w:pStyle w:val="ListParagraph"/>
        <w:widowControl/>
        <w:numPr>
          <w:ilvl w:val="0"/>
          <w:numId w:val="25"/>
        </w:numPr>
        <w:ind w:left="720" w:firstLine="360"/>
        <w:jc w:val="both"/>
      </w:pPr>
      <w:bookmarkStart w:id="5" w:name="_Hlk36722719"/>
      <w:r>
        <w:t xml:space="preserve">For VTC Hearings, the Court will primarily use </w:t>
      </w:r>
      <w:bookmarkEnd w:id="5"/>
      <w:r>
        <w:t>NVTCS (“National Video Tele-Conferencing Service”) provided by the Administrative Office of the U.S. Courts whe</w:t>
      </w:r>
      <w:r w:rsidR="009C55AF">
        <w:t>n</w:t>
      </w:r>
      <w:r>
        <w:t xml:space="preserve"> available.</w:t>
      </w:r>
    </w:p>
    <w:p w14:paraId="1F0B982E" w14:textId="77777777" w:rsidR="003E313E" w:rsidRDefault="003E313E" w:rsidP="003E313E">
      <w:pPr>
        <w:widowControl/>
        <w:ind w:left="720"/>
        <w:jc w:val="both"/>
      </w:pPr>
    </w:p>
    <w:p w14:paraId="7AD1EE52" w14:textId="76FA0917" w:rsidR="003E313E" w:rsidRDefault="003E313E" w:rsidP="003E313E">
      <w:pPr>
        <w:pStyle w:val="ListParagraph"/>
        <w:widowControl/>
        <w:numPr>
          <w:ilvl w:val="0"/>
          <w:numId w:val="25"/>
        </w:numPr>
        <w:ind w:left="720" w:firstLine="360"/>
        <w:jc w:val="both"/>
      </w:pPr>
      <w:r>
        <w:t xml:space="preserve">Where a network connection through NVTCS is available, the CRDC will provide specific </w:t>
      </w:r>
      <w:r w:rsidR="0067308B">
        <w:t xml:space="preserve">information for the </w:t>
      </w:r>
      <w:r>
        <w:t>secure connection</w:t>
      </w:r>
      <w:r w:rsidR="0067308B">
        <w:t xml:space="preserve"> in advance of the hearing and will also provide information regarding Cisco Jabber Video software which is compatible with Windows or Mac and can be used on a computer, laptop or mobile device.  Please keep in mind that in order to attend a VTC hearing, each participant</w:t>
      </w:r>
      <w:r w:rsidR="006337F5">
        <w:t xml:space="preserve"> </w:t>
      </w:r>
      <w:r w:rsidR="0067308B">
        <w:t xml:space="preserve">will need, at </w:t>
      </w:r>
      <w:r w:rsidR="009C55AF">
        <w:t>a minimum</w:t>
      </w:r>
      <w:r w:rsidR="0067308B">
        <w:t>, a</w:t>
      </w:r>
      <w:r w:rsidR="006337F5">
        <w:t xml:space="preserve"> computer equipped with a</w:t>
      </w:r>
      <w:r w:rsidR="0067308B">
        <w:t xml:space="preserve"> camera, microphone and speaker to fully participate in the hearing.</w:t>
      </w:r>
    </w:p>
    <w:p w14:paraId="553937DD" w14:textId="77777777" w:rsidR="009C55AF" w:rsidRDefault="009C55AF" w:rsidP="009C55AF">
      <w:pPr>
        <w:pStyle w:val="ListParagraph"/>
      </w:pPr>
    </w:p>
    <w:p w14:paraId="34AFBED8" w14:textId="1596A774" w:rsidR="009C55AF" w:rsidRPr="00CA20EC" w:rsidRDefault="009C55AF" w:rsidP="003E313E">
      <w:pPr>
        <w:pStyle w:val="ListParagraph"/>
        <w:widowControl/>
        <w:numPr>
          <w:ilvl w:val="0"/>
          <w:numId w:val="25"/>
        </w:numPr>
        <w:ind w:left="720" w:firstLine="360"/>
        <w:jc w:val="both"/>
      </w:pPr>
      <w:r>
        <w:t xml:space="preserve">When NVTCS is not available, the Court may elect to use </w:t>
      </w:r>
      <w:r w:rsidR="001E3DC5">
        <w:t xml:space="preserve">an </w:t>
      </w:r>
      <w:r>
        <w:t xml:space="preserve">alternate </w:t>
      </w:r>
      <w:r w:rsidR="001E3DC5">
        <w:t>method</w:t>
      </w:r>
      <w:r>
        <w:t xml:space="preserve"> for conducting a VTC hearing</w:t>
      </w:r>
      <w:r w:rsidR="001E3DC5">
        <w:t xml:space="preserve"> when available to the Court (i.e. Zoom, GoToMeeting, etc.)</w:t>
      </w:r>
      <w:r>
        <w:t>.  The CRDC will provide specific information to the parties in advance of any hearing.</w:t>
      </w:r>
    </w:p>
    <w:p w14:paraId="0718F1EA" w14:textId="77777777" w:rsidR="00D971BF" w:rsidRDefault="00D971BF" w:rsidP="004046BE">
      <w:pPr>
        <w:widowControl/>
        <w:jc w:val="both"/>
        <w:rPr>
          <w:b/>
          <w:bCs/>
          <w:u w:val="single"/>
        </w:rPr>
      </w:pPr>
    </w:p>
    <w:p w14:paraId="5C9584EB" w14:textId="46980A1E" w:rsidR="00D971BF" w:rsidRPr="00CA20EC" w:rsidRDefault="00536C07" w:rsidP="00A65014">
      <w:pPr>
        <w:pStyle w:val="ListParagraph"/>
        <w:widowControl/>
        <w:numPr>
          <w:ilvl w:val="0"/>
          <w:numId w:val="8"/>
        </w:numPr>
        <w:ind w:hanging="720"/>
      </w:pPr>
      <w:r>
        <w:rPr>
          <w:b/>
          <w:bCs/>
          <w:u w:val="single"/>
        </w:rPr>
        <w:t>Telephon</w:t>
      </w:r>
      <w:r w:rsidR="003067E9">
        <w:rPr>
          <w:b/>
          <w:bCs/>
          <w:u w:val="single"/>
        </w:rPr>
        <w:t>ic</w:t>
      </w:r>
      <w:r>
        <w:rPr>
          <w:b/>
          <w:bCs/>
          <w:u w:val="single"/>
        </w:rPr>
        <w:t xml:space="preserve"> Conference Instructions</w:t>
      </w:r>
    </w:p>
    <w:p w14:paraId="6F190FC6" w14:textId="367CB03E" w:rsidR="00D971BF" w:rsidRDefault="00D971BF" w:rsidP="00D971BF">
      <w:pPr>
        <w:widowControl/>
        <w:jc w:val="both"/>
      </w:pPr>
    </w:p>
    <w:p w14:paraId="65E17ED4" w14:textId="532CAB42" w:rsidR="002162D2" w:rsidRDefault="00363EE3" w:rsidP="001E3DC5">
      <w:pPr>
        <w:pStyle w:val="ListParagraph"/>
        <w:widowControl/>
        <w:numPr>
          <w:ilvl w:val="0"/>
          <w:numId w:val="25"/>
        </w:numPr>
        <w:ind w:left="720" w:firstLine="360"/>
        <w:jc w:val="both"/>
      </w:pPr>
      <w:r w:rsidRPr="00363EE3">
        <w:t xml:space="preserve">For </w:t>
      </w:r>
      <w:r w:rsidR="001E3DC5">
        <w:t>Telephon</w:t>
      </w:r>
      <w:r w:rsidR="003067E9">
        <w:t>ic Conference</w:t>
      </w:r>
      <w:r w:rsidRPr="00363EE3">
        <w:t xml:space="preserve"> Hearings, the Court will use</w:t>
      </w:r>
      <w:r w:rsidR="001E3DC5">
        <w:t xml:space="preserve"> its AT&amp;T </w:t>
      </w:r>
      <w:proofErr w:type="spellStart"/>
      <w:r w:rsidR="001E3DC5">
        <w:t>Reservationless</w:t>
      </w:r>
      <w:proofErr w:type="spellEnd"/>
      <w:r w:rsidR="001E3DC5">
        <w:t xml:space="preserve"> Conferencing line.  The CRDC will provide dial-in information for the call which will include a Security Code specific to </w:t>
      </w:r>
      <w:proofErr w:type="gramStart"/>
      <w:r w:rsidR="001E3DC5">
        <w:t>each and every</w:t>
      </w:r>
      <w:proofErr w:type="gramEnd"/>
      <w:r w:rsidR="001E3DC5">
        <w:t xml:space="preserve"> hearing.</w:t>
      </w:r>
    </w:p>
    <w:p w14:paraId="4EE858BA" w14:textId="42A0C544" w:rsidR="001E3DC5" w:rsidRDefault="001E3DC5" w:rsidP="00363EE3">
      <w:pPr>
        <w:widowControl/>
        <w:ind w:left="720"/>
        <w:jc w:val="both"/>
      </w:pPr>
    </w:p>
    <w:p w14:paraId="2CBC988C" w14:textId="75CA50BB" w:rsidR="001E3DC5" w:rsidRPr="00AB6187" w:rsidRDefault="001E3DC5" w:rsidP="001E3DC5">
      <w:pPr>
        <w:pStyle w:val="ListParagraph"/>
        <w:widowControl/>
        <w:numPr>
          <w:ilvl w:val="0"/>
          <w:numId w:val="25"/>
        </w:numPr>
        <w:ind w:left="720" w:firstLine="360"/>
        <w:jc w:val="both"/>
      </w:pPr>
      <w:r>
        <w:t>To avoid disruption during a hearing, call participants should mute the call on their end to avoid background noise and should avoid speaking over other call participants.  Additionally, call participants should consider dialing in from a land line phone to avoid connection issues and interference common when using cellular telephones.</w:t>
      </w:r>
    </w:p>
    <w:sectPr w:rsidR="001E3DC5" w:rsidRPr="00AB6187" w:rsidSect="00AB6187">
      <w:headerReference w:type="default" r:id="rId12"/>
      <w:footerReference w:type="default" r:id="rId13"/>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562C" w14:textId="77777777" w:rsidR="001052CB" w:rsidRDefault="001052CB" w:rsidP="000C6390">
      <w:r>
        <w:separator/>
      </w:r>
    </w:p>
  </w:endnote>
  <w:endnote w:type="continuationSeparator" w:id="0">
    <w:p w14:paraId="6D08F096" w14:textId="77777777" w:rsidR="001052CB" w:rsidRDefault="001052CB" w:rsidP="000C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85C3" w14:textId="684D3ABB" w:rsidR="002E6F72" w:rsidRDefault="002E6F72" w:rsidP="00A65014">
    <w:pPr>
      <w:pStyle w:val="Footer"/>
      <w:tabs>
        <w:tab w:val="clear" w:pos="4680"/>
      </w:tabs>
      <w:jc w:val="right"/>
    </w:pPr>
    <w:r>
      <w:rPr>
        <w:noProof/>
      </w:rPr>
      <w:drawing>
        <wp:inline distT="0" distB="0" distL="0" distR="0" wp14:anchorId="7D5C63E4" wp14:editId="5C710FBF">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Color Seal Outer Circle and eagle.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tab/>
    </w:r>
    <w:r w:rsidR="00536C07">
      <w:t xml:space="preserve">April </w:t>
    </w:r>
    <w:r w:rsidR="00410E10">
      <w:t>8</w:t>
    </w:r>
    <w:r w:rsidR="00536C07">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809750"/>
      <w:docPartObj>
        <w:docPartGallery w:val="Page Numbers (Bottom of Page)"/>
        <w:docPartUnique/>
      </w:docPartObj>
    </w:sdtPr>
    <w:sdtEndPr>
      <w:rPr>
        <w:noProof/>
      </w:rPr>
    </w:sdtEndPr>
    <w:sdtContent>
      <w:p w14:paraId="312C203D" w14:textId="67E00EF1" w:rsidR="00194176" w:rsidRPr="00194176" w:rsidRDefault="00AB6187" w:rsidP="00AB61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82F4" w14:textId="77777777" w:rsidR="001052CB" w:rsidRDefault="001052CB" w:rsidP="000C6390">
      <w:r>
        <w:separator/>
      </w:r>
    </w:p>
  </w:footnote>
  <w:footnote w:type="continuationSeparator" w:id="0">
    <w:p w14:paraId="725CF576" w14:textId="77777777" w:rsidR="001052CB" w:rsidRDefault="001052CB" w:rsidP="000C6390">
      <w:r>
        <w:continuationSeparator/>
      </w:r>
    </w:p>
  </w:footnote>
  <w:footnote w:id="1">
    <w:p w14:paraId="030EFF1C" w14:textId="3AA70E7B" w:rsidR="008071C1" w:rsidRPr="008071C1" w:rsidRDefault="008071C1" w:rsidP="008071C1">
      <w:pPr>
        <w:pStyle w:val="FootnoteText"/>
        <w:jc w:val="both"/>
        <w:rPr>
          <w:sz w:val="22"/>
          <w:szCs w:val="22"/>
        </w:rPr>
      </w:pPr>
      <w:bookmarkStart w:id="3" w:name="_Hlk36804433"/>
      <w:r w:rsidRPr="008071C1">
        <w:rPr>
          <w:rStyle w:val="FootnoteReference"/>
          <w:sz w:val="22"/>
          <w:szCs w:val="22"/>
          <w:vertAlign w:val="superscript"/>
        </w:rPr>
        <w:footnoteRef/>
      </w:r>
      <w:r w:rsidRPr="008071C1">
        <w:rPr>
          <w:sz w:val="22"/>
          <w:szCs w:val="22"/>
        </w:rPr>
        <w:t xml:space="preserve">  Due to the Court’s limited resources and strains on current technology, Defendant’s counsel will not </w:t>
      </w:r>
      <w:r w:rsidR="007A5CA9">
        <w:rPr>
          <w:sz w:val="22"/>
          <w:szCs w:val="22"/>
        </w:rPr>
        <w:t>be able</w:t>
      </w:r>
      <w:r w:rsidRPr="008071C1">
        <w:rPr>
          <w:sz w:val="22"/>
          <w:szCs w:val="22"/>
        </w:rPr>
        <w:t xml:space="preserve"> to utilize the Court’s VTC or </w:t>
      </w:r>
      <w:r w:rsidR="00816DBC">
        <w:rPr>
          <w:sz w:val="22"/>
          <w:szCs w:val="22"/>
        </w:rPr>
        <w:t>t</w:t>
      </w:r>
      <w:r w:rsidRPr="008071C1">
        <w:rPr>
          <w:sz w:val="22"/>
          <w:szCs w:val="22"/>
        </w:rPr>
        <w:t xml:space="preserve">elephonic </w:t>
      </w:r>
      <w:r w:rsidR="00816DBC">
        <w:rPr>
          <w:sz w:val="22"/>
          <w:szCs w:val="22"/>
        </w:rPr>
        <w:t>c</w:t>
      </w:r>
      <w:r w:rsidRPr="008071C1">
        <w:rPr>
          <w:sz w:val="22"/>
          <w:szCs w:val="22"/>
        </w:rPr>
        <w:t>onference</w:t>
      </w:r>
      <w:r w:rsidR="00816DBC">
        <w:rPr>
          <w:sz w:val="22"/>
          <w:szCs w:val="22"/>
        </w:rPr>
        <w:t xml:space="preserve"> capabilities</w:t>
      </w:r>
      <w:r w:rsidRPr="008071C1">
        <w:rPr>
          <w:sz w:val="22"/>
          <w:szCs w:val="22"/>
        </w:rPr>
        <w:t xml:space="preserve"> for attorney-client </w:t>
      </w:r>
      <w:r>
        <w:rPr>
          <w:sz w:val="22"/>
          <w:szCs w:val="22"/>
        </w:rPr>
        <w:t>discussions</w:t>
      </w:r>
      <w:r w:rsidRPr="008071C1">
        <w:rPr>
          <w:sz w:val="22"/>
          <w:szCs w:val="22"/>
        </w:rPr>
        <w:t xml:space="preserve"> </w:t>
      </w:r>
      <w:r>
        <w:rPr>
          <w:sz w:val="22"/>
          <w:szCs w:val="22"/>
        </w:rPr>
        <w:t>prior to</w:t>
      </w:r>
      <w:r w:rsidRPr="008071C1">
        <w:rPr>
          <w:sz w:val="22"/>
          <w:szCs w:val="22"/>
        </w:rPr>
        <w:t xml:space="preserve"> a hearing.</w:t>
      </w:r>
      <w:r>
        <w:rPr>
          <w:sz w:val="22"/>
          <w:szCs w:val="22"/>
        </w:rPr>
        <w:t xml:space="preserve">  </w:t>
      </w:r>
      <w:r w:rsidR="00A823BC">
        <w:rPr>
          <w:sz w:val="22"/>
          <w:szCs w:val="22"/>
        </w:rPr>
        <w:t>If Defendant is detained</w:t>
      </w:r>
      <w:r>
        <w:rPr>
          <w:sz w:val="22"/>
          <w:szCs w:val="22"/>
        </w:rPr>
        <w:t xml:space="preserve">, counsel must </w:t>
      </w:r>
      <w:proofErr w:type="gramStart"/>
      <w:r>
        <w:rPr>
          <w:sz w:val="22"/>
          <w:szCs w:val="22"/>
        </w:rPr>
        <w:t>make arrangements</w:t>
      </w:r>
      <w:proofErr w:type="gramEnd"/>
      <w:r>
        <w:rPr>
          <w:sz w:val="22"/>
          <w:szCs w:val="22"/>
        </w:rPr>
        <w:t xml:space="preserve"> directly with </w:t>
      </w:r>
      <w:r w:rsidR="00A823BC">
        <w:rPr>
          <w:sz w:val="22"/>
          <w:szCs w:val="22"/>
        </w:rPr>
        <w:t>D</w:t>
      </w:r>
      <w:r>
        <w:rPr>
          <w:sz w:val="22"/>
          <w:szCs w:val="22"/>
        </w:rPr>
        <w:t>efendant’s respective holding facility or by contacting the United States Marshals Service.</w:t>
      </w:r>
      <w:r w:rsidR="007A5CA9">
        <w:rPr>
          <w:sz w:val="22"/>
          <w:szCs w:val="22"/>
        </w:rPr>
        <w:t xml:space="preserve">  Only if those efforts first prove unsuccessful should counsel contact the </w:t>
      </w:r>
      <w:r w:rsidR="00C720B1">
        <w:rPr>
          <w:sz w:val="22"/>
          <w:szCs w:val="22"/>
        </w:rPr>
        <w:t>CRDC</w:t>
      </w:r>
      <w:r w:rsidR="007A5CA9">
        <w:rPr>
          <w:sz w:val="22"/>
          <w:szCs w:val="22"/>
        </w:rPr>
        <w:t xml:space="preserve"> to resolve the issue.</w:t>
      </w:r>
    </w:p>
    <w:bookmarkEnd w:id="3"/>
  </w:footnote>
  <w:footnote w:id="2">
    <w:p w14:paraId="59EA0A2D" w14:textId="537552C1" w:rsidR="006D6BF2" w:rsidRPr="006D6BF2" w:rsidRDefault="006D6BF2" w:rsidP="006D6BF2">
      <w:pPr>
        <w:pStyle w:val="FootnoteText"/>
        <w:jc w:val="both"/>
        <w:rPr>
          <w:sz w:val="22"/>
          <w:szCs w:val="22"/>
        </w:rPr>
      </w:pPr>
      <w:r w:rsidRPr="006D6BF2">
        <w:rPr>
          <w:rStyle w:val="FootnoteReference"/>
          <w:sz w:val="22"/>
          <w:szCs w:val="22"/>
          <w:vertAlign w:val="superscript"/>
        </w:rPr>
        <w:footnoteRef/>
      </w:r>
      <w:r w:rsidRPr="006D6BF2">
        <w:rPr>
          <w:sz w:val="22"/>
          <w:szCs w:val="22"/>
        </w:rPr>
        <w:t xml:space="preserve">  For purposes of these instructions, fully executed copies means: all forms </w:t>
      </w:r>
      <w:r w:rsidR="00AB6187">
        <w:rPr>
          <w:sz w:val="22"/>
          <w:szCs w:val="22"/>
        </w:rPr>
        <w:t xml:space="preserve">must be </w:t>
      </w:r>
      <w:r w:rsidRPr="006D6BF2">
        <w:rPr>
          <w:sz w:val="22"/>
          <w:szCs w:val="22"/>
        </w:rPr>
        <w:t xml:space="preserve">fully filled out, </w:t>
      </w:r>
      <w:r w:rsidR="00AB6187">
        <w:rPr>
          <w:sz w:val="22"/>
          <w:szCs w:val="22"/>
        </w:rPr>
        <w:t xml:space="preserve">and </w:t>
      </w:r>
      <w:r w:rsidRPr="006D6BF2">
        <w:rPr>
          <w:sz w:val="22"/>
          <w:szCs w:val="22"/>
        </w:rPr>
        <w:t>all signatures and dates of all signing parties</w:t>
      </w:r>
      <w:r w:rsidR="00AB6187">
        <w:rPr>
          <w:sz w:val="22"/>
          <w:szCs w:val="22"/>
        </w:rPr>
        <w:t xml:space="preserve"> must be contained</w:t>
      </w:r>
      <w:r w:rsidRPr="006D6BF2">
        <w:rPr>
          <w:sz w:val="22"/>
          <w:szCs w:val="22"/>
        </w:rPr>
        <w:t xml:space="preserve"> </w:t>
      </w:r>
      <w:r w:rsidR="00AB6187">
        <w:rPr>
          <w:sz w:val="22"/>
          <w:szCs w:val="22"/>
        </w:rPr>
        <w:t>i</w:t>
      </w:r>
      <w:r w:rsidRPr="006D6BF2">
        <w:rPr>
          <w:sz w:val="22"/>
          <w:szCs w:val="22"/>
        </w:rPr>
        <w:t xml:space="preserve">n each </w:t>
      </w:r>
      <w:r w:rsidR="00AB6187" w:rsidRPr="006D6BF2">
        <w:rPr>
          <w:sz w:val="22"/>
          <w:szCs w:val="22"/>
        </w:rPr>
        <w:t xml:space="preserve">referenced </w:t>
      </w:r>
      <w:r w:rsidRPr="006D6BF2">
        <w:rPr>
          <w:sz w:val="22"/>
          <w:szCs w:val="22"/>
        </w:rPr>
        <w:t>document.</w:t>
      </w:r>
      <w:r w:rsidR="009F3451">
        <w:rPr>
          <w:sz w:val="22"/>
          <w:szCs w:val="22"/>
        </w:rPr>
        <w:t xml:space="preserve"> The defendant’s signature may be affixed in accordance with </w:t>
      </w:r>
      <w:r w:rsidR="009F3451" w:rsidRPr="00245B59">
        <w:rPr>
          <w:sz w:val="24"/>
          <w:szCs w:val="24"/>
          <w:u w:val="single"/>
        </w:rPr>
        <w:t xml:space="preserve">IN RE: </w:t>
      </w:r>
      <w:r w:rsidR="009F3451">
        <w:rPr>
          <w:sz w:val="24"/>
          <w:szCs w:val="24"/>
          <w:u w:val="single"/>
        </w:rPr>
        <w:t>Expanded Use of Electronic and Other Signatures Due to Exigent Circumstances Created by COVID-19</w:t>
      </w:r>
      <w:r w:rsidR="009F3451" w:rsidRPr="00245B59">
        <w:rPr>
          <w:sz w:val="24"/>
          <w:szCs w:val="24"/>
        </w:rPr>
        <w:t>, 1:20-MC-00</w:t>
      </w:r>
      <w:r w:rsidR="009F3451">
        <w:rPr>
          <w:sz w:val="24"/>
          <w:szCs w:val="24"/>
        </w:rPr>
        <w:t>7</w:t>
      </w:r>
      <w:r w:rsidR="009F3451" w:rsidRPr="00245B59">
        <w:rPr>
          <w:sz w:val="24"/>
          <w:szCs w:val="24"/>
        </w:rPr>
        <w:t>, ECF No. 1 (</w:t>
      </w:r>
      <w:r w:rsidR="009F3451">
        <w:rPr>
          <w:sz w:val="24"/>
          <w:szCs w:val="24"/>
        </w:rPr>
        <w:t>April 9</w:t>
      </w:r>
      <w:r w:rsidR="009F3451" w:rsidRPr="00245B59">
        <w:rPr>
          <w:sz w:val="24"/>
          <w:szCs w:val="24"/>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2A6F" w14:textId="31F69F9A" w:rsidR="002E6F72" w:rsidRDefault="002E6F72" w:rsidP="00A65014">
    <w:pPr>
      <w:tabs>
        <w:tab w:val="right" w:pos="9360"/>
      </w:tabs>
    </w:pPr>
    <w:bookmarkStart w:id="0" w:name="_Hlk9347870"/>
    <w:bookmarkStart w:id="1" w:name="_Hlk9347871"/>
    <w:r>
      <w:tab/>
      <w:t xml:space="preserve">THE HONORABLE </w:t>
    </w:r>
    <w:r w:rsidR="00410E10">
      <w:t>J. RANDAL HALL</w:t>
    </w:r>
  </w:p>
  <w:p w14:paraId="26942A47" w14:textId="359EFCAE" w:rsidR="00AB1F94" w:rsidRDefault="00AB1F94" w:rsidP="00A65014">
    <w:pPr>
      <w:jc w:val="right"/>
    </w:pPr>
    <w:r>
      <w:t xml:space="preserve">CHIEF JUDGE, </w:t>
    </w:r>
    <w:r w:rsidR="002E6F72">
      <w:t>UNITED STATES DISTRICT</w:t>
    </w:r>
    <w:r>
      <w:t xml:space="preserve"> COURT</w:t>
    </w:r>
  </w:p>
  <w:p w14:paraId="23DCF451" w14:textId="6F443438" w:rsidR="002E6F72" w:rsidRPr="008570AB" w:rsidRDefault="002E6F72" w:rsidP="00A65014">
    <w:pPr>
      <w:jc w:val="right"/>
    </w:pPr>
    <w:r>
      <w:t>SOUTHERN DISTRICT OF GEORGIA</w:t>
    </w:r>
    <w:bookmarkEnd w:id="0"/>
    <w:bookmarkEnd w:id="1"/>
  </w:p>
  <w:p w14:paraId="6E959B7E" w14:textId="77777777" w:rsidR="002E6F72" w:rsidRDefault="002E6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C315" w14:textId="77777777" w:rsidR="00AB6187" w:rsidRPr="00AB6187" w:rsidRDefault="00AB6187" w:rsidP="00AB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18259B4"/>
    <w:lvl w:ilvl="0">
      <w:numFmt w:val="bullet"/>
      <w:lvlText w:val="*"/>
      <w:lvlJc w:val="left"/>
    </w:lvl>
  </w:abstractNum>
  <w:abstractNum w:abstractNumId="1" w15:restartNumberingAfterBreak="0">
    <w:nsid w:val="00000001"/>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0000002"/>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15:restartNumberingAfterBreak="0">
    <w:nsid w:val="00000003"/>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4" w15:restartNumberingAfterBreak="0">
    <w:nsid w:val="00000004"/>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5" w15:restartNumberingAfterBreak="0">
    <w:nsid w:val="00000005"/>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6" w15:restartNumberingAfterBreak="0">
    <w:nsid w:val="00000006"/>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7" w15:restartNumberingAfterBreak="0">
    <w:nsid w:val="00000007"/>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8" w15:restartNumberingAfterBreak="0">
    <w:nsid w:val="00000008"/>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9" w15:restartNumberingAfterBreak="0">
    <w:nsid w:val="00000009"/>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0" w15:restartNumberingAfterBreak="0">
    <w:nsid w:val="0000000A"/>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1" w15:restartNumberingAfterBreak="0">
    <w:nsid w:val="0000000B"/>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2" w15:restartNumberingAfterBreak="0">
    <w:nsid w:val="0000000C"/>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3" w15:restartNumberingAfterBreak="0">
    <w:nsid w:val="0000000D"/>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4" w15:restartNumberingAfterBreak="0">
    <w:nsid w:val="0000000E"/>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5" w15:restartNumberingAfterBreak="0">
    <w:nsid w:val="0000000F"/>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6" w15:restartNumberingAfterBreak="0">
    <w:nsid w:val="00000010"/>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7" w15:restartNumberingAfterBreak="0">
    <w:nsid w:val="00000011"/>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8" w15:restartNumberingAfterBreak="0">
    <w:nsid w:val="00000012"/>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9" w15:restartNumberingAfterBreak="0">
    <w:nsid w:val="00000013"/>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0" w15:restartNumberingAfterBreak="0">
    <w:nsid w:val="00000014"/>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1" w15:restartNumberingAfterBreak="0">
    <w:nsid w:val="00000015"/>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2" w15:restartNumberingAfterBreak="0">
    <w:nsid w:val="03FA4112"/>
    <w:multiLevelType w:val="hybridMultilevel"/>
    <w:tmpl w:val="2DD2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137215"/>
    <w:multiLevelType w:val="hybridMultilevel"/>
    <w:tmpl w:val="C4EE84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D8B3D52"/>
    <w:multiLevelType w:val="hybridMultilevel"/>
    <w:tmpl w:val="F5F66B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32CE8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2F59A4"/>
    <w:multiLevelType w:val="hybridMultilevel"/>
    <w:tmpl w:val="DE945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130EF4"/>
    <w:multiLevelType w:val="hybridMultilevel"/>
    <w:tmpl w:val="A45C03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35716BD"/>
    <w:multiLevelType w:val="hybridMultilevel"/>
    <w:tmpl w:val="D548EB5E"/>
    <w:lvl w:ilvl="0" w:tplc="FBC41D0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E860EA"/>
    <w:multiLevelType w:val="multilevel"/>
    <w:tmpl w:val="80DA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C5402E"/>
    <w:multiLevelType w:val="hybridMultilevel"/>
    <w:tmpl w:val="B0C40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E1647F"/>
    <w:multiLevelType w:val="hybridMultilevel"/>
    <w:tmpl w:val="109A229C"/>
    <w:lvl w:ilvl="0" w:tplc="FD4017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5374484"/>
    <w:multiLevelType w:val="hybridMultilevel"/>
    <w:tmpl w:val="77322BF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626042C"/>
    <w:multiLevelType w:val="hybridMultilevel"/>
    <w:tmpl w:val="77322BF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62C7E81"/>
    <w:multiLevelType w:val="hybridMultilevel"/>
    <w:tmpl w:val="77322BF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70C7D66"/>
    <w:multiLevelType w:val="hybridMultilevel"/>
    <w:tmpl w:val="77322BF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8640570"/>
    <w:multiLevelType w:val="hybridMultilevel"/>
    <w:tmpl w:val="7C24F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0E60B5C"/>
    <w:multiLevelType w:val="hybridMultilevel"/>
    <w:tmpl w:val="E03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D206A"/>
    <w:multiLevelType w:val="hybridMultilevel"/>
    <w:tmpl w:val="90C4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1730CE"/>
    <w:multiLevelType w:val="hybridMultilevel"/>
    <w:tmpl w:val="3474CF7C"/>
    <w:lvl w:ilvl="0" w:tplc="0BE245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4C5E57"/>
    <w:multiLevelType w:val="hybridMultilevel"/>
    <w:tmpl w:val="159A2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24D77CD"/>
    <w:multiLevelType w:val="hybridMultilevel"/>
    <w:tmpl w:val="2DF8E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C32CB9"/>
    <w:multiLevelType w:val="hybridMultilevel"/>
    <w:tmpl w:val="BC6056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685317A0"/>
    <w:multiLevelType w:val="hybridMultilevel"/>
    <w:tmpl w:val="21621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3D02B5C">
      <w:start w:val="3"/>
      <w:numFmt w:val="bullet"/>
      <w:lvlText w:val="-"/>
      <w:lvlJc w:val="left"/>
      <w:pPr>
        <w:ind w:left="2340" w:hanging="360"/>
      </w:pPr>
      <w:rPr>
        <w:rFonts w:ascii="Times New Roman" w:eastAsiaTheme="minorEastAsia" w:hAnsi="Times New Roman" w:cs="Times New Roman" w:hint="default"/>
      </w:rPr>
    </w:lvl>
    <w:lvl w:ilvl="3" w:tplc="CE2E3D2A">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74055"/>
    <w:multiLevelType w:val="hybridMultilevel"/>
    <w:tmpl w:val="B44E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8B7C24"/>
    <w:multiLevelType w:val="hybridMultilevel"/>
    <w:tmpl w:val="58F419DE"/>
    <w:lvl w:ilvl="0" w:tplc="04090019">
      <w:start w:val="1"/>
      <w:numFmt w:val="lowerLetter"/>
      <w:lvlText w:val="%1."/>
      <w:lvlJc w:val="left"/>
      <w:pPr>
        <w:ind w:left="1538" w:hanging="360"/>
      </w:pPr>
    </w:lvl>
    <w:lvl w:ilvl="1" w:tplc="0409000F">
      <w:start w:val="1"/>
      <w:numFmt w:val="decimal"/>
      <w:lvlText w:val="%2."/>
      <w:lvlJc w:val="left"/>
      <w:pPr>
        <w:ind w:left="2258" w:hanging="360"/>
      </w:pPr>
    </w:lvl>
    <w:lvl w:ilvl="2" w:tplc="0409001B">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0"/>
    <w:lvlOverride w:ilvl="0">
      <w:lvl w:ilvl="0">
        <w:numFmt w:val="bullet"/>
        <w:lvlText w:val="•"/>
        <w:legacy w:legacy="1" w:legacySpace="0" w:legacyIndent="720"/>
        <w:lvlJc w:val="left"/>
        <w:pPr>
          <w:ind w:left="720" w:hanging="720"/>
        </w:pPr>
        <w:rPr>
          <w:rFonts w:ascii="MingLiU-ExtB" w:eastAsia="MingLiU-ExtB" w:hAnsi="MingLiU-ExtB" w:hint="eastAsia"/>
        </w:rPr>
      </w:lvl>
    </w:lvlOverride>
  </w:num>
  <w:num w:numId="3">
    <w:abstractNumId w:val="25"/>
  </w:num>
  <w:num w:numId="4">
    <w:abstractNumId w:val="42"/>
  </w:num>
  <w:num w:numId="5">
    <w:abstractNumId w:val="24"/>
  </w:num>
  <w:num w:numId="6">
    <w:abstractNumId w:val="37"/>
  </w:num>
  <w:num w:numId="7">
    <w:abstractNumId w:val="38"/>
  </w:num>
  <w:num w:numId="8">
    <w:abstractNumId w:val="27"/>
  </w:num>
  <w:num w:numId="9">
    <w:abstractNumId w:val="29"/>
  </w:num>
  <w:num w:numId="10">
    <w:abstractNumId w:val="26"/>
  </w:num>
  <w:num w:numId="11">
    <w:abstractNumId w:val="23"/>
  </w:num>
  <w:num w:numId="12">
    <w:abstractNumId w:val="44"/>
  </w:num>
  <w:num w:numId="13">
    <w:abstractNumId w:val="31"/>
  </w:num>
  <w:num w:numId="14">
    <w:abstractNumId w:val="32"/>
  </w:num>
  <w:num w:numId="15">
    <w:abstractNumId w:val="33"/>
  </w:num>
  <w:num w:numId="16">
    <w:abstractNumId w:val="34"/>
  </w:num>
  <w:num w:numId="17">
    <w:abstractNumId w:val="41"/>
  </w:num>
  <w:num w:numId="18">
    <w:abstractNumId w:val="39"/>
  </w:num>
  <w:num w:numId="19">
    <w:abstractNumId w:val="36"/>
  </w:num>
  <w:num w:numId="20">
    <w:abstractNumId w:val="22"/>
  </w:num>
  <w:num w:numId="21">
    <w:abstractNumId w:val="30"/>
  </w:num>
  <w:num w:numId="22">
    <w:abstractNumId w:val="28"/>
  </w:num>
  <w:num w:numId="23">
    <w:abstractNumId w:val="40"/>
  </w:num>
  <w:num w:numId="24">
    <w:abstractNumId w:val="35"/>
  </w:num>
  <w:num w:numId="2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D9"/>
    <w:rsid w:val="00002D07"/>
    <w:rsid w:val="00017E82"/>
    <w:rsid w:val="000208A8"/>
    <w:rsid w:val="00073322"/>
    <w:rsid w:val="00075922"/>
    <w:rsid w:val="000B2D76"/>
    <w:rsid w:val="000C6390"/>
    <w:rsid w:val="000F027D"/>
    <w:rsid w:val="000F21E1"/>
    <w:rsid w:val="001052CB"/>
    <w:rsid w:val="00134BEC"/>
    <w:rsid w:val="0016679B"/>
    <w:rsid w:val="00170AAB"/>
    <w:rsid w:val="00170EC1"/>
    <w:rsid w:val="001758E7"/>
    <w:rsid w:val="00194176"/>
    <w:rsid w:val="001B355E"/>
    <w:rsid w:val="001C760F"/>
    <w:rsid w:val="001D53B6"/>
    <w:rsid w:val="001E3DC5"/>
    <w:rsid w:val="002162D2"/>
    <w:rsid w:val="00257FC2"/>
    <w:rsid w:val="00265ACB"/>
    <w:rsid w:val="002C5F54"/>
    <w:rsid w:val="002D0A50"/>
    <w:rsid w:val="002E6F72"/>
    <w:rsid w:val="002F2D30"/>
    <w:rsid w:val="003067E9"/>
    <w:rsid w:val="0031415C"/>
    <w:rsid w:val="00324297"/>
    <w:rsid w:val="00363EE3"/>
    <w:rsid w:val="00364F66"/>
    <w:rsid w:val="00380008"/>
    <w:rsid w:val="003811EC"/>
    <w:rsid w:val="00387A13"/>
    <w:rsid w:val="003B6C7D"/>
    <w:rsid w:val="003C572E"/>
    <w:rsid w:val="003D7C6C"/>
    <w:rsid w:val="003E313E"/>
    <w:rsid w:val="003E735B"/>
    <w:rsid w:val="004046BE"/>
    <w:rsid w:val="00407A5D"/>
    <w:rsid w:val="00410E10"/>
    <w:rsid w:val="00414EBB"/>
    <w:rsid w:val="00420E67"/>
    <w:rsid w:val="00422946"/>
    <w:rsid w:val="00436CAA"/>
    <w:rsid w:val="004508CD"/>
    <w:rsid w:val="00463BB6"/>
    <w:rsid w:val="00464861"/>
    <w:rsid w:val="00493739"/>
    <w:rsid w:val="004E705E"/>
    <w:rsid w:val="00510939"/>
    <w:rsid w:val="00525D4A"/>
    <w:rsid w:val="00526E64"/>
    <w:rsid w:val="00536C07"/>
    <w:rsid w:val="00540DC9"/>
    <w:rsid w:val="00551F47"/>
    <w:rsid w:val="00561C60"/>
    <w:rsid w:val="005716CF"/>
    <w:rsid w:val="00573F3E"/>
    <w:rsid w:val="0057466C"/>
    <w:rsid w:val="00586143"/>
    <w:rsid w:val="00586B7D"/>
    <w:rsid w:val="00586CFE"/>
    <w:rsid w:val="005E03B0"/>
    <w:rsid w:val="006337F5"/>
    <w:rsid w:val="0067308B"/>
    <w:rsid w:val="006A63A4"/>
    <w:rsid w:val="006A7CFD"/>
    <w:rsid w:val="006B5F55"/>
    <w:rsid w:val="006C7ADD"/>
    <w:rsid w:val="006D6BF2"/>
    <w:rsid w:val="006E047E"/>
    <w:rsid w:val="006E453F"/>
    <w:rsid w:val="006F0611"/>
    <w:rsid w:val="006F1A68"/>
    <w:rsid w:val="006F6707"/>
    <w:rsid w:val="00720606"/>
    <w:rsid w:val="00737EFF"/>
    <w:rsid w:val="00743762"/>
    <w:rsid w:val="0076486D"/>
    <w:rsid w:val="0077532E"/>
    <w:rsid w:val="0078111D"/>
    <w:rsid w:val="007868BF"/>
    <w:rsid w:val="007A5CA9"/>
    <w:rsid w:val="007C398E"/>
    <w:rsid w:val="007D631D"/>
    <w:rsid w:val="007E02E9"/>
    <w:rsid w:val="008028BB"/>
    <w:rsid w:val="008071C1"/>
    <w:rsid w:val="00816DBC"/>
    <w:rsid w:val="00850A1F"/>
    <w:rsid w:val="0086329B"/>
    <w:rsid w:val="00870204"/>
    <w:rsid w:val="00874B0F"/>
    <w:rsid w:val="00881A2B"/>
    <w:rsid w:val="00882BF4"/>
    <w:rsid w:val="00894801"/>
    <w:rsid w:val="008A3FFE"/>
    <w:rsid w:val="008A5565"/>
    <w:rsid w:val="008B65FD"/>
    <w:rsid w:val="008B6C40"/>
    <w:rsid w:val="008D3E51"/>
    <w:rsid w:val="008E2A8E"/>
    <w:rsid w:val="008E6899"/>
    <w:rsid w:val="008F6188"/>
    <w:rsid w:val="00936323"/>
    <w:rsid w:val="009542E7"/>
    <w:rsid w:val="00960011"/>
    <w:rsid w:val="009629CF"/>
    <w:rsid w:val="0097045C"/>
    <w:rsid w:val="009725CB"/>
    <w:rsid w:val="009B2CB2"/>
    <w:rsid w:val="009C55AF"/>
    <w:rsid w:val="009E1AEA"/>
    <w:rsid w:val="009F3451"/>
    <w:rsid w:val="009F3AC6"/>
    <w:rsid w:val="00A02890"/>
    <w:rsid w:val="00A31261"/>
    <w:rsid w:val="00A370EF"/>
    <w:rsid w:val="00A46835"/>
    <w:rsid w:val="00A65014"/>
    <w:rsid w:val="00A8076B"/>
    <w:rsid w:val="00A823BC"/>
    <w:rsid w:val="00A82BFA"/>
    <w:rsid w:val="00AA47FD"/>
    <w:rsid w:val="00AA55D9"/>
    <w:rsid w:val="00AA7008"/>
    <w:rsid w:val="00AB1F94"/>
    <w:rsid w:val="00AB5651"/>
    <w:rsid w:val="00AB6187"/>
    <w:rsid w:val="00AC2EF7"/>
    <w:rsid w:val="00AC426C"/>
    <w:rsid w:val="00AC74A9"/>
    <w:rsid w:val="00B100CD"/>
    <w:rsid w:val="00B975D3"/>
    <w:rsid w:val="00BA2302"/>
    <w:rsid w:val="00BA513E"/>
    <w:rsid w:val="00BD78AF"/>
    <w:rsid w:val="00C139D5"/>
    <w:rsid w:val="00C2047F"/>
    <w:rsid w:val="00C43E8E"/>
    <w:rsid w:val="00C5049C"/>
    <w:rsid w:val="00C51BC0"/>
    <w:rsid w:val="00C6295D"/>
    <w:rsid w:val="00C67DBD"/>
    <w:rsid w:val="00C720B1"/>
    <w:rsid w:val="00CA20EC"/>
    <w:rsid w:val="00CA76FC"/>
    <w:rsid w:val="00CB25FE"/>
    <w:rsid w:val="00CC3E15"/>
    <w:rsid w:val="00CF3833"/>
    <w:rsid w:val="00D23CE5"/>
    <w:rsid w:val="00D45324"/>
    <w:rsid w:val="00D8611D"/>
    <w:rsid w:val="00D96413"/>
    <w:rsid w:val="00D971BF"/>
    <w:rsid w:val="00D978B1"/>
    <w:rsid w:val="00DA0ED2"/>
    <w:rsid w:val="00DB7DF1"/>
    <w:rsid w:val="00DF2CEB"/>
    <w:rsid w:val="00E50994"/>
    <w:rsid w:val="00E647F7"/>
    <w:rsid w:val="00EA3232"/>
    <w:rsid w:val="00EB4212"/>
    <w:rsid w:val="00EC4E29"/>
    <w:rsid w:val="00EF7421"/>
    <w:rsid w:val="00F279DC"/>
    <w:rsid w:val="00F50804"/>
    <w:rsid w:val="00F51B65"/>
    <w:rsid w:val="00F5339C"/>
    <w:rsid w:val="00F911C6"/>
    <w:rsid w:val="00F943C4"/>
    <w:rsid w:val="00FA344F"/>
    <w:rsid w:val="00FD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671923"/>
  <w14:defaultImageDpi w14:val="96"/>
  <w15:docId w15:val="{098AF101-1F9C-490B-BB00-AEB3FA2D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paragraph" w:styleId="ListParagraph">
    <w:name w:val="List Paragraph"/>
    <w:basedOn w:val="Normal"/>
    <w:uiPriority w:val="34"/>
    <w:qFormat/>
    <w:rsid w:val="00AC74A9"/>
    <w:pPr>
      <w:ind w:left="720"/>
      <w:contextualSpacing/>
    </w:pPr>
  </w:style>
  <w:style w:type="character" w:styleId="PlaceholderText">
    <w:name w:val="Placeholder Text"/>
    <w:basedOn w:val="DefaultParagraphFont"/>
    <w:uiPriority w:val="99"/>
    <w:semiHidden/>
    <w:rsid w:val="00464861"/>
    <w:rPr>
      <w:color w:val="808080"/>
    </w:rPr>
  </w:style>
  <w:style w:type="paragraph" w:styleId="Header">
    <w:name w:val="header"/>
    <w:basedOn w:val="Normal"/>
    <w:link w:val="HeaderChar"/>
    <w:uiPriority w:val="99"/>
    <w:unhideWhenUsed/>
    <w:rsid w:val="000C6390"/>
    <w:pPr>
      <w:tabs>
        <w:tab w:val="center" w:pos="4680"/>
        <w:tab w:val="right" w:pos="9360"/>
      </w:tabs>
    </w:pPr>
  </w:style>
  <w:style w:type="character" w:customStyle="1" w:styleId="HeaderChar">
    <w:name w:val="Header Char"/>
    <w:basedOn w:val="DefaultParagraphFont"/>
    <w:link w:val="Header"/>
    <w:uiPriority w:val="99"/>
    <w:rsid w:val="000C6390"/>
    <w:rPr>
      <w:rFonts w:ascii="Times New Roman" w:hAnsi="Times New Roman" w:cs="Times New Roman"/>
      <w:sz w:val="24"/>
      <w:szCs w:val="24"/>
    </w:rPr>
  </w:style>
  <w:style w:type="paragraph" w:styleId="Footer">
    <w:name w:val="footer"/>
    <w:basedOn w:val="Normal"/>
    <w:link w:val="FooterChar"/>
    <w:uiPriority w:val="99"/>
    <w:unhideWhenUsed/>
    <w:rsid w:val="000C6390"/>
    <w:pPr>
      <w:tabs>
        <w:tab w:val="center" w:pos="4680"/>
        <w:tab w:val="right" w:pos="9360"/>
      </w:tabs>
    </w:pPr>
  </w:style>
  <w:style w:type="character" w:customStyle="1" w:styleId="FooterChar">
    <w:name w:val="Footer Char"/>
    <w:basedOn w:val="DefaultParagraphFont"/>
    <w:link w:val="Footer"/>
    <w:uiPriority w:val="99"/>
    <w:rsid w:val="000C6390"/>
    <w:rPr>
      <w:rFonts w:ascii="Times New Roman" w:hAnsi="Times New Roman" w:cs="Times New Roman"/>
      <w:sz w:val="24"/>
      <w:szCs w:val="24"/>
    </w:rPr>
  </w:style>
  <w:style w:type="table" w:styleId="TableGrid">
    <w:name w:val="Table Grid"/>
    <w:basedOn w:val="TableNormal"/>
    <w:uiPriority w:val="39"/>
    <w:rsid w:val="007C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35"/>
    <w:rPr>
      <w:rFonts w:ascii="Segoe UI" w:hAnsi="Segoe UI" w:cs="Segoe UI"/>
      <w:sz w:val="18"/>
      <w:szCs w:val="18"/>
    </w:rPr>
  </w:style>
  <w:style w:type="character" w:styleId="CommentReference">
    <w:name w:val="annotation reference"/>
    <w:basedOn w:val="DefaultParagraphFont"/>
    <w:uiPriority w:val="99"/>
    <w:semiHidden/>
    <w:unhideWhenUsed/>
    <w:rsid w:val="002E6F72"/>
    <w:rPr>
      <w:sz w:val="16"/>
      <w:szCs w:val="16"/>
    </w:rPr>
  </w:style>
  <w:style w:type="paragraph" w:styleId="CommentText">
    <w:name w:val="annotation text"/>
    <w:basedOn w:val="Normal"/>
    <w:link w:val="CommentTextChar"/>
    <w:uiPriority w:val="99"/>
    <w:semiHidden/>
    <w:unhideWhenUsed/>
    <w:rsid w:val="002E6F72"/>
    <w:rPr>
      <w:sz w:val="20"/>
      <w:szCs w:val="20"/>
    </w:rPr>
  </w:style>
  <w:style w:type="character" w:customStyle="1" w:styleId="CommentTextChar">
    <w:name w:val="Comment Text Char"/>
    <w:basedOn w:val="DefaultParagraphFont"/>
    <w:link w:val="CommentText"/>
    <w:uiPriority w:val="99"/>
    <w:semiHidden/>
    <w:rsid w:val="002E6F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F72"/>
    <w:rPr>
      <w:b/>
      <w:bCs/>
    </w:rPr>
  </w:style>
  <w:style w:type="character" w:customStyle="1" w:styleId="CommentSubjectChar">
    <w:name w:val="Comment Subject Char"/>
    <w:basedOn w:val="CommentTextChar"/>
    <w:link w:val="CommentSubject"/>
    <w:uiPriority w:val="99"/>
    <w:semiHidden/>
    <w:rsid w:val="002E6F72"/>
    <w:rPr>
      <w:rFonts w:ascii="Times New Roman" w:hAnsi="Times New Roman" w:cs="Times New Roman"/>
      <w:b/>
      <w:bCs/>
      <w:sz w:val="20"/>
      <w:szCs w:val="20"/>
    </w:rPr>
  </w:style>
  <w:style w:type="character" w:styleId="Hyperlink">
    <w:name w:val="Hyperlink"/>
    <w:basedOn w:val="DefaultParagraphFont"/>
    <w:uiPriority w:val="99"/>
    <w:unhideWhenUsed/>
    <w:rsid w:val="00C139D5"/>
    <w:rPr>
      <w:color w:val="0000FF"/>
      <w:u w:val="single"/>
    </w:rPr>
  </w:style>
  <w:style w:type="paragraph" w:styleId="FootnoteText">
    <w:name w:val="footnote text"/>
    <w:basedOn w:val="Normal"/>
    <w:link w:val="FootnoteTextChar"/>
    <w:uiPriority w:val="99"/>
    <w:semiHidden/>
    <w:unhideWhenUsed/>
    <w:rsid w:val="006D6BF2"/>
    <w:rPr>
      <w:sz w:val="20"/>
      <w:szCs w:val="20"/>
    </w:rPr>
  </w:style>
  <w:style w:type="character" w:customStyle="1" w:styleId="FootnoteTextChar">
    <w:name w:val="Footnote Text Char"/>
    <w:basedOn w:val="DefaultParagraphFont"/>
    <w:link w:val="FootnoteText"/>
    <w:uiPriority w:val="99"/>
    <w:semiHidden/>
    <w:rsid w:val="006D6BF2"/>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9629CF"/>
    <w:rPr>
      <w:color w:val="605E5C"/>
      <w:shd w:val="clear" w:color="auto" w:fill="E1DFDD"/>
    </w:rPr>
  </w:style>
  <w:style w:type="character" w:styleId="FollowedHyperlink">
    <w:name w:val="FollowedHyperlink"/>
    <w:basedOn w:val="DefaultParagraphFont"/>
    <w:uiPriority w:val="99"/>
    <w:semiHidden/>
    <w:unhideWhenUsed/>
    <w:rsid w:val="009F3A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1691">
      <w:bodyDiv w:val="1"/>
      <w:marLeft w:val="0"/>
      <w:marRight w:val="0"/>
      <w:marTop w:val="0"/>
      <w:marBottom w:val="0"/>
      <w:divBdr>
        <w:top w:val="none" w:sz="0" w:space="0" w:color="auto"/>
        <w:left w:val="none" w:sz="0" w:space="0" w:color="auto"/>
        <w:bottom w:val="none" w:sz="0" w:space="0" w:color="auto"/>
        <w:right w:val="none" w:sz="0" w:space="0" w:color="auto"/>
      </w:divBdr>
    </w:div>
    <w:div w:id="11268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_widener@gas.uscourt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sa_widener@gas.uscourt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ADC7-4F00-4A76-AD55-432429A4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Hammock</dc:creator>
  <cp:keywords/>
  <dc:description/>
  <cp:lastModifiedBy>Lisa Widener</cp:lastModifiedBy>
  <cp:revision>6</cp:revision>
  <cp:lastPrinted>2019-10-22T12:05:00Z</cp:lastPrinted>
  <dcterms:created xsi:type="dcterms:W3CDTF">2020-04-09T19:03:00Z</dcterms:created>
  <dcterms:modified xsi:type="dcterms:W3CDTF">2020-04-13T19:15:00Z</dcterms:modified>
</cp:coreProperties>
</file>